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1A" w:rsidRDefault="0087621A">
      <w:pPr>
        <w:rPr>
          <w:lang w:val="en-GB"/>
        </w:rPr>
      </w:pPr>
      <w:bookmarkStart w:id="0" w:name="_GoBack"/>
      <w:bookmarkEnd w:id="0"/>
    </w:p>
    <w:p w:rsidR="0087621A" w:rsidRPr="00DD7535" w:rsidRDefault="00477BFF" w:rsidP="00477BFF">
      <w:pPr>
        <w:rPr>
          <w:b/>
          <w:color w:val="E36C0A" w:themeColor="accent6" w:themeShade="BF"/>
          <w:u w:val="double"/>
          <w:lang w:val="en-US"/>
        </w:rPr>
      </w:pPr>
      <w:r>
        <w:rPr>
          <w:b/>
          <w:color w:val="E36C0A" w:themeColor="accent6" w:themeShade="BF"/>
          <w:u w:val="double"/>
          <w:lang w:val="en-US"/>
        </w:rPr>
        <w:t>Listed Companies Financial Calendars – Code: 101009</w:t>
      </w:r>
    </w:p>
    <w:p w:rsidR="006F4E3E" w:rsidRPr="00D356F7" w:rsidRDefault="006F4E3E" w:rsidP="006F4E3E">
      <w:pPr>
        <w:spacing w:before="20" w:after="20"/>
        <w:jc w:val="both"/>
        <w:rPr>
          <w:sz w:val="20"/>
          <w:szCs w:val="20"/>
          <w:lang w:val="en-GB" w:eastAsia="en-US"/>
        </w:rPr>
      </w:pPr>
    </w:p>
    <w:p w:rsidR="00746C09" w:rsidRPr="00477BFF" w:rsidRDefault="00D356F7" w:rsidP="00746C09">
      <w:pPr>
        <w:spacing w:before="20" w:after="20"/>
        <w:jc w:val="both"/>
        <w:rPr>
          <w:b/>
          <w:color w:val="7030A0"/>
          <w:sz w:val="20"/>
          <w:lang w:val="en-US"/>
        </w:rPr>
      </w:pPr>
      <w:proofErr w:type="gramStart"/>
      <w:r w:rsidRPr="00477BFF">
        <w:rPr>
          <w:b/>
          <w:color w:val="7030A0"/>
          <w:sz w:val="20"/>
          <w:lang w:val="en-US"/>
        </w:rPr>
        <w:t>MOTOR OIL (HELLAS) CORINT</w:t>
      </w:r>
      <w:r w:rsidR="00DD7535" w:rsidRPr="00477BFF">
        <w:rPr>
          <w:b/>
          <w:color w:val="7030A0"/>
          <w:sz w:val="20"/>
          <w:lang w:val="en-US"/>
        </w:rPr>
        <w:t>H</w:t>
      </w:r>
      <w:r w:rsidRPr="00477BFF">
        <w:rPr>
          <w:b/>
          <w:color w:val="7030A0"/>
          <w:sz w:val="20"/>
          <w:lang w:val="en-US"/>
        </w:rPr>
        <w:t xml:space="preserve"> REFINERIES S.A.</w:t>
      </w:r>
      <w:proofErr w:type="gramEnd"/>
      <w:r w:rsidR="00746C09" w:rsidRPr="00477BFF">
        <w:rPr>
          <w:b/>
          <w:color w:val="7030A0"/>
          <w:sz w:val="20"/>
          <w:lang w:val="en-US"/>
        </w:rPr>
        <w:t xml:space="preserve"> </w:t>
      </w:r>
    </w:p>
    <w:p w:rsidR="00746C09" w:rsidRPr="00D356F7" w:rsidRDefault="00D356F7" w:rsidP="00746C09">
      <w:pPr>
        <w:spacing w:before="20" w:after="20"/>
        <w:jc w:val="both"/>
        <w:rPr>
          <w:b/>
          <w:i/>
          <w:sz w:val="20"/>
          <w:lang w:val="en-US"/>
        </w:rPr>
      </w:pPr>
      <w:proofErr w:type="spellStart"/>
      <w:r>
        <w:rPr>
          <w:b/>
          <w:i/>
          <w:sz w:val="20"/>
          <w:lang w:val="en-US"/>
        </w:rPr>
        <w:t>dd</w:t>
      </w:r>
      <w:proofErr w:type="spellEnd"/>
      <w:r w:rsidR="00746C09" w:rsidRPr="00D356F7">
        <w:rPr>
          <w:b/>
          <w:i/>
          <w:sz w:val="20"/>
          <w:lang w:val="en-GB"/>
        </w:rPr>
        <w:t>.</w:t>
      </w:r>
      <w:r>
        <w:rPr>
          <w:b/>
          <w:i/>
          <w:sz w:val="20"/>
          <w:lang w:val="en-US"/>
        </w:rPr>
        <w:t>mm</w:t>
      </w:r>
      <w:r w:rsidR="00746C09" w:rsidRPr="00D356F7">
        <w:rPr>
          <w:b/>
          <w:i/>
          <w:sz w:val="20"/>
          <w:lang w:val="en-GB"/>
        </w:rPr>
        <w:t>.</w:t>
      </w:r>
      <w:proofErr w:type="spellStart"/>
      <w:r>
        <w:rPr>
          <w:b/>
          <w:i/>
          <w:sz w:val="20"/>
          <w:lang w:val="en-US"/>
        </w:rPr>
        <w:t>yyyy</w:t>
      </w:r>
      <w:proofErr w:type="spellEnd"/>
    </w:p>
    <w:p w:rsidR="00D356F7" w:rsidRPr="00D356F7" w:rsidRDefault="00D356F7" w:rsidP="00D356F7">
      <w:pPr>
        <w:spacing w:before="20" w:after="20"/>
        <w:jc w:val="both"/>
        <w:rPr>
          <w:sz w:val="18"/>
          <w:szCs w:val="18"/>
          <w:lang w:val="en-US"/>
        </w:rPr>
      </w:pPr>
      <w:r w:rsidRPr="00D356F7">
        <w:rPr>
          <w:sz w:val="18"/>
          <w:szCs w:val="18"/>
          <w:lang w:val="en-US"/>
        </w:rPr>
        <w:t>According to the provisions of paragraphs 3 and 4 of section 4.1.4.3.1 of the Regulation of Athens Exchange, MOTOR OIL (HELLAS) S.A. hereby announces its updated year 2012 Financial Calendar in order to include the return of capital amount of EURO 0.10 per share which has as follows:</w:t>
      </w:r>
    </w:p>
    <w:p w:rsidR="00D356F7" w:rsidRPr="00D356F7" w:rsidRDefault="00D356F7" w:rsidP="00D356F7">
      <w:pPr>
        <w:spacing w:before="20" w:after="20"/>
        <w:jc w:val="both"/>
        <w:rPr>
          <w:sz w:val="18"/>
          <w:szCs w:val="18"/>
          <w:lang w:val="en-US"/>
        </w:rPr>
      </w:pPr>
      <w:r w:rsidRPr="00D356F7">
        <w:rPr>
          <w:sz w:val="18"/>
          <w:szCs w:val="18"/>
          <w:lang w:val="en-US"/>
        </w:rPr>
        <w:t>Annual Ordinary General Meeting: Thursday June 28th, 2012.</w:t>
      </w:r>
    </w:p>
    <w:p w:rsidR="00D356F7" w:rsidRPr="00D356F7" w:rsidRDefault="00D356F7" w:rsidP="00D356F7">
      <w:pPr>
        <w:spacing w:before="20" w:after="20"/>
        <w:jc w:val="both"/>
        <w:rPr>
          <w:sz w:val="18"/>
          <w:szCs w:val="18"/>
          <w:lang w:val="en-US"/>
        </w:rPr>
      </w:pPr>
      <w:r w:rsidRPr="00D356F7">
        <w:rPr>
          <w:sz w:val="18"/>
          <w:szCs w:val="18"/>
          <w:lang w:val="en-US"/>
        </w:rPr>
        <w:t>Year 2011 ex-dividend date: Monday July 2nd, 2012 (that is, after June 15th, 2012 which signifies the expiration date for the Futures Contracts on the Company´ s stock and on the FTSE/ATHEX 20 index, in which it is included).</w:t>
      </w:r>
    </w:p>
    <w:p w:rsidR="00D356F7" w:rsidRPr="00D356F7" w:rsidRDefault="00D356F7" w:rsidP="00D356F7">
      <w:pPr>
        <w:spacing w:before="20" w:after="20"/>
        <w:jc w:val="both"/>
        <w:rPr>
          <w:sz w:val="18"/>
          <w:szCs w:val="18"/>
          <w:lang w:val="en-US"/>
        </w:rPr>
      </w:pPr>
      <w:r w:rsidRPr="00D356F7">
        <w:rPr>
          <w:sz w:val="18"/>
          <w:szCs w:val="18"/>
          <w:lang w:val="en-US"/>
        </w:rPr>
        <w:t>Shareholders entitled to the year 2011 dividend: Company shareholders registered in the electronic files of the Dematerialized Securities System (S.A.T) dated Wednesday July 4th, 2012 (record date).</w:t>
      </w:r>
    </w:p>
    <w:p w:rsidR="00D356F7" w:rsidRPr="00D356F7" w:rsidRDefault="00D356F7" w:rsidP="00D356F7">
      <w:pPr>
        <w:spacing w:before="20" w:after="20"/>
        <w:jc w:val="both"/>
        <w:rPr>
          <w:sz w:val="18"/>
          <w:szCs w:val="18"/>
          <w:lang w:val="en-US"/>
        </w:rPr>
      </w:pPr>
      <w:r w:rsidRPr="00D356F7">
        <w:rPr>
          <w:sz w:val="18"/>
          <w:szCs w:val="18"/>
          <w:lang w:val="en-US"/>
        </w:rPr>
        <w:t>First day of payment of the year 2011 dividend: Tuesday July 10th, 2012.</w:t>
      </w:r>
    </w:p>
    <w:p w:rsidR="00D356F7" w:rsidRPr="00D356F7" w:rsidRDefault="00D356F7" w:rsidP="00D356F7">
      <w:pPr>
        <w:spacing w:before="20" w:after="20"/>
        <w:jc w:val="both"/>
        <w:rPr>
          <w:sz w:val="18"/>
          <w:szCs w:val="18"/>
          <w:lang w:val="en-US"/>
        </w:rPr>
      </w:pPr>
      <w:r w:rsidRPr="00D356F7">
        <w:rPr>
          <w:sz w:val="18"/>
          <w:szCs w:val="18"/>
          <w:lang w:val="en-US"/>
        </w:rPr>
        <w:t>Ex-return of capital amount date: Monday November 5th, 2012 (that is, prior to December 21st, 2012 which signifies the expiration date for the Futures Contracts on the Company´ s stock and on the FTSE/ATHEX 20 index, in which it is included).</w:t>
      </w:r>
    </w:p>
    <w:p w:rsidR="00D356F7" w:rsidRPr="00D356F7" w:rsidRDefault="00D356F7" w:rsidP="00D356F7">
      <w:pPr>
        <w:spacing w:before="20" w:after="20"/>
        <w:jc w:val="both"/>
        <w:rPr>
          <w:sz w:val="18"/>
          <w:szCs w:val="18"/>
          <w:lang w:val="en-US"/>
        </w:rPr>
      </w:pPr>
      <w:r w:rsidRPr="00D356F7">
        <w:rPr>
          <w:sz w:val="18"/>
          <w:szCs w:val="18"/>
          <w:lang w:val="en-US"/>
        </w:rPr>
        <w:t>Shareholders entitled to the return of capital amount: Company shareholders registered in the electronic files of the Dematerialized Securities System (S.A.T) dated Wednesday November 7th, 2012 (record date).</w:t>
      </w:r>
    </w:p>
    <w:p w:rsidR="006F4E3E" w:rsidRPr="00D356F7" w:rsidRDefault="00D356F7" w:rsidP="00D356F7">
      <w:pPr>
        <w:spacing w:before="20" w:after="20"/>
        <w:jc w:val="both"/>
        <w:rPr>
          <w:sz w:val="18"/>
          <w:szCs w:val="18"/>
          <w:lang w:val="en-US" w:eastAsia="en-US"/>
        </w:rPr>
      </w:pPr>
      <w:r w:rsidRPr="00D356F7">
        <w:rPr>
          <w:sz w:val="18"/>
          <w:szCs w:val="18"/>
          <w:lang w:val="en-US"/>
        </w:rPr>
        <w:t>First day of payment of the return of capital amount: Tuesday November 13th, 2012.</w:t>
      </w:r>
    </w:p>
    <w:p w:rsidR="00D356F7" w:rsidRPr="00D356F7" w:rsidRDefault="00D356F7" w:rsidP="006F4E3E">
      <w:pPr>
        <w:spacing w:before="20" w:after="20"/>
        <w:jc w:val="both"/>
        <w:rPr>
          <w:sz w:val="20"/>
          <w:szCs w:val="20"/>
          <w:lang w:val="en-US" w:eastAsia="en-US"/>
        </w:rPr>
      </w:pPr>
    </w:p>
    <w:p w:rsidR="006F4E3E" w:rsidRPr="00477BFF" w:rsidRDefault="00D356F7" w:rsidP="006F4E3E">
      <w:pPr>
        <w:spacing w:before="20" w:after="20"/>
        <w:jc w:val="both"/>
        <w:rPr>
          <w:b/>
          <w:color w:val="7030A0"/>
          <w:sz w:val="20"/>
          <w:lang w:val="en-US"/>
        </w:rPr>
      </w:pPr>
      <w:r w:rsidRPr="00477BFF">
        <w:rPr>
          <w:b/>
          <w:color w:val="7030A0"/>
          <w:sz w:val="20"/>
          <w:lang w:val="en-US"/>
        </w:rPr>
        <w:t>HELLENIC EXCHANGES S.A.</w:t>
      </w:r>
    </w:p>
    <w:p w:rsidR="00746C09" w:rsidRPr="00D356F7" w:rsidRDefault="00D356F7" w:rsidP="00746C09">
      <w:pPr>
        <w:spacing w:before="20" w:after="20"/>
        <w:jc w:val="both"/>
        <w:rPr>
          <w:b/>
          <w:i/>
          <w:sz w:val="20"/>
          <w:lang w:val="en-US"/>
        </w:rPr>
      </w:pPr>
      <w:proofErr w:type="spellStart"/>
      <w:r>
        <w:rPr>
          <w:b/>
          <w:i/>
          <w:sz w:val="20"/>
          <w:lang w:val="en-US"/>
        </w:rPr>
        <w:t>dd</w:t>
      </w:r>
      <w:r w:rsidR="00746C09" w:rsidRPr="00D356F7">
        <w:rPr>
          <w:b/>
          <w:i/>
          <w:sz w:val="20"/>
          <w:lang w:val="en-US"/>
        </w:rPr>
        <w:t>.</w:t>
      </w:r>
      <w:r>
        <w:rPr>
          <w:b/>
          <w:i/>
          <w:sz w:val="20"/>
          <w:lang w:val="en-US"/>
        </w:rPr>
        <w:t>mm</w:t>
      </w:r>
      <w:r w:rsidR="00746C09" w:rsidRPr="00D356F7">
        <w:rPr>
          <w:b/>
          <w:i/>
          <w:sz w:val="20"/>
          <w:lang w:val="en-US"/>
        </w:rPr>
        <w:t>.</w:t>
      </w:r>
      <w:r>
        <w:rPr>
          <w:b/>
          <w:i/>
          <w:sz w:val="20"/>
          <w:lang w:val="en-US"/>
        </w:rPr>
        <w:t>yyyy</w:t>
      </w:r>
      <w:proofErr w:type="spellEnd"/>
    </w:p>
    <w:p w:rsidR="00D356F7" w:rsidRPr="00D356F7" w:rsidRDefault="00D356F7" w:rsidP="00D356F7">
      <w:pPr>
        <w:autoSpaceDE w:val="0"/>
        <w:autoSpaceDN w:val="0"/>
        <w:adjustRightInd w:val="0"/>
        <w:jc w:val="both"/>
        <w:rPr>
          <w:sz w:val="18"/>
          <w:szCs w:val="18"/>
          <w:lang w:val="en-US"/>
        </w:rPr>
      </w:pPr>
      <w:r w:rsidRPr="00D356F7">
        <w:rPr>
          <w:sz w:val="18"/>
          <w:szCs w:val="18"/>
          <w:lang w:val="en-US"/>
        </w:rPr>
        <w:t>The Board of Directors of the Company, at its meeting yesterday, decided the ex-date and payment date for the special dividend (share capital return) that had been decided by the 1st Repetitive General Meeting of Shareholders on Tuesday 12.6.2012.</w:t>
      </w:r>
    </w:p>
    <w:p w:rsidR="00D356F7" w:rsidRPr="00D356F7" w:rsidRDefault="00D356F7" w:rsidP="00D356F7">
      <w:pPr>
        <w:autoSpaceDE w:val="0"/>
        <w:autoSpaceDN w:val="0"/>
        <w:adjustRightInd w:val="0"/>
        <w:jc w:val="both"/>
        <w:rPr>
          <w:sz w:val="18"/>
          <w:szCs w:val="18"/>
          <w:lang w:val="en-US"/>
        </w:rPr>
      </w:pPr>
      <w:r w:rsidRPr="00D356F7">
        <w:rPr>
          <w:sz w:val="18"/>
          <w:szCs w:val="18"/>
          <w:lang w:val="en-US"/>
        </w:rPr>
        <w:t>Following the determination of the abovementioned dates, the financial calendar for the remainder of the fiscal year is as follows:</w:t>
      </w:r>
    </w:p>
    <w:p w:rsidR="00D356F7" w:rsidRPr="00D356F7" w:rsidRDefault="00D356F7" w:rsidP="00D356F7">
      <w:pPr>
        <w:pStyle w:val="ListParagraph"/>
        <w:numPr>
          <w:ilvl w:val="0"/>
          <w:numId w:val="2"/>
        </w:numPr>
        <w:autoSpaceDE w:val="0"/>
        <w:autoSpaceDN w:val="0"/>
        <w:adjustRightInd w:val="0"/>
        <w:jc w:val="both"/>
        <w:rPr>
          <w:sz w:val="18"/>
          <w:szCs w:val="18"/>
          <w:lang w:val="en-US"/>
        </w:rPr>
      </w:pPr>
      <w:r w:rsidRPr="00D356F7">
        <w:rPr>
          <w:sz w:val="18"/>
          <w:szCs w:val="18"/>
          <w:lang w:val="en-US"/>
        </w:rPr>
        <w:t>Special dividend beneficiaries – record date: Friday September 28th 2012.</w:t>
      </w:r>
    </w:p>
    <w:p w:rsidR="00D356F7" w:rsidRPr="00D356F7" w:rsidRDefault="00D356F7" w:rsidP="00D356F7">
      <w:pPr>
        <w:autoSpaceDE w:val="0"/>
        <w:autoSpaceDN w:val="0"/>
        <w:adjustRightInd w:val="0"/>
        <w:jc w:val="both"/>
        <w:rPr>
          <w:sz w:val="18"/>
          <w:szCs w:val="18"/>
          <w:lang w:val="en-US"/>
        </w:rPr>
      </w:pPr>
      <w:r w:rsidRPr="00D356F7">
        <w:rPr>
          <w:sz w:val="18"/>
          <w:szCs w:val="18"/>
          <w:lang w:val="en-US"/>
        </w:rPr>
        <w:t>The ex-date (Wednesday 26.9.2012) is after the expiration, on Friday 21.9.2012, of the following future contracts that are traded in the derivatives market: Future with the HELEX share as an underlying security.</w:t>
      </w:r>
    </w:p>
    <w:p w:rsidR="00D356F7" w:rsidRPr="00D356F7" w:rsidRDefault="00D356F7" w:rsidP="00D356F7">
      <w:pPr>
        <w:pStyle w:val="ListParagraph"/>
        <w:numPr>
          <w:ilvl w:val="0"/>
          <w:numId w:val="2"/>
        </w:numPr>
        <w:autoSpaceDE w:val="0"/>
        <w:autoSpaceDN w:val="0"/>
        <w:adjustRightInd w:val="0"/>
        <w:jc w:val="both"/>
        <w:rPr>
          <w:sz w:val="18"/>
          <w:szCs w:val="18"/>
          <w:lang w:val="en-US"/>
        </w:rPr>
      </w:pPr>
      <w:r w:rsidRPr="00D356F7">
        <w:rPr>
          <w:sz w:val="18"/>
          <w:szCs w:val="18"/>
          <w:lang w:val="en-US"/>
        </w:rPr>
        <w:t>Special dividend payment date: Thursday October 4th 2012.</w:t>
      </w:r>
    </w:p>
    <w:p w:rsidR="00D356F7" w:rsidRPr="00D356F7" w:rsidRDefault="00D356F7" w:rsidP="00D356F7">
      <w:pPr>
        <w:pStyle w:val="ListParagraph"/>
        <w:numPr>
          <w:ilvl w:val="0"/>
          <w:numId w:val="2"/>
        </w:numPr>
        <w:autoSpaceDE w:val="0"/>
        <w:autoSpaceDN w:val="0"/>
        <w:adjustRightInd w:val="0"/>
        <w:jc w:val="both"/>
        <w:rPr>
          <w:sz w:val="18"/>
          <w:szCs w:val="18"/>
          <w:lang w:val="en-US"/>
        </w:rPr>
      </w:pPr>
      <w:r w:rsidRPr="00D356F7">
        <w:rPr>
          <w:sz w:val="18"/>
          <w:szCs w:val="18"/>
          <w:lang w:val="en-US"/>
        </w:rPr>
        <w:t>Release of Nine Month 2012 Results: Monday November 12th 2012.</w:t>
      </w:r>
    </w:p>
    <w:p w:rsidR="00D356F7" w:rsidRPr="00D356F7" w:rsidRDefault="00D356F7" w:rsidP="00D356F7">
      <w:pPr>
        <w:autoSpaceDE w:val="0"/>
        <w:autoSpaceDN w:val="0"/>
        <w:adjustRightInd w:val="0"/>
        <w:jc w:val="both"/>
        <w:rPr>
          <w:sz w:val="18"/>
          <w:szCs w:val="18"/>
          <w:lang w:val="en-US"/>
        </w:rPr>
      </w:pPr>
      <w:r w:rsidRPr="00D356F7">
        <w:rPr>
          <w:sz w:val="18"/>
          <w:szCs w:val="18"/>
          <w:lang w:val="en-US"/>
        </w:rPr>
        <w:t>The special dividend will be paid out through Piraeus Bank. The Company will inform investors with a later announcement about the details and the procedure for collecting the amount of the special dividend.</w:t>
      </w:r>
    </w:p>
    <w:p w:rsidR="006F4E3E" w:rsidRPr="00D356F7" w:rsidRDefault="00D356F7" w:rsidP="00D356F7">
      <w:pPr>
        <w:autoSpaceDE w:val="0"/>
        <w:autoSpaceDN w:val="0"/>
        <w:adjustRightInd w:val="0"/>
        <w:jc w:val="both"/>
        <w:rPr>
          <w:rFonts w:ascii="Arial" w:hAnsi="Arial" w:cs="Arial"/>
          <w:sz w:val="18"/>
          <w:szCs w:val="18"/>
          <w:lang w:val="en-US" w:eastAsia="en-US"/>
        </w:rPr>
      </w:pPr>
      <w:r w:rsidRPr="00D356F7">
        <w:rPr>
          <w:sz w:val="18"/>
          <w:szCs w:val="18"/>
          <w:lang w:val="en-US"/>
        </w:rPr>
        <w:t>The results will be published after the end of trading on Athens Exchange on the release day, on the Company’s website (www.helex.gr) as well as on the website of Athens Exchange (www.athex.gr). The results will be published in the press two working days following their publication on the Company’s website.</w:t>
      </w:r>
    </w:p>
    <w:p w:rsidR="006F4E3E" w:rsidRPr="00D356F7" w:rsidRDefault="006F4E3E" w:rsidP="006F4E3E">
      <w:pPr>
        <w:jc w:val="both"/>
        <w:rPr>
          <w:lang w:val="en-US"/>
        </w:rPr>
      </w:pPr>
    </w:p>
    <w:p w:rsidR="0087621A" w:rsidRPr="00D356F7" w:rsidRDefault="0087621A" w:rsidP="0087621A">
      <w:pPr>
        <w:jc w:val="center"/>
        <w:rPr>
          <w:lang w:val="en-US"/>
        </w:rPr>
      </w:pPr>
    </w:p>
    <w:p w:rsidR="0087621A" w:rsidRPr="00D356F7" w:rsidRDefault="0087621A" w:rsidP="0087621A">
      <w:pPr>
        <w:jc w:val="center"/>
        <w:rPr>
          <w:lang w:val="en-US"/>
        </w:rPr>
      </w:pPr>
    </w:p>
    <w:p w:rsidR="0087621A" w:rsidRPr="00D356F7" w:rsidRDefault="0087621A" w:rsidP="0087621A">
      <w:pPr>
        <w:jc w:val="center"/>
        <w:rPr>
          <w:lang w:val="en-US"/>
        </w:rPr>
      </w:pPr>
    </w:p>
    <w:sectPr w:rsidR="0087621A" w:rsidRPr="00D356F7" w:rsidSect="00EB11F9">
      <w:headerReference w:type="default" r:id="rId9"/>
      <w:pgSz w:w="11906" w:h="16838"/>
      <w:pgMar w:top="941" w:right="1797" w:bottom="1440" w:left="179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C7" w:rsidRDefault="006F38C7" w:rsidP="00C81E98">
      <w:r>
        <w:separator/>
      </w:r>
    </w:p>
  </w:endnote>
  <w:endnote w:type="continuationSeparator" w:id="0">
    <w:p w:rsidR="006F38C7" w:rsidRDefault="006F38C7" w:rsidP="00C8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C7" w:rsidRDefault="006F38C7" w:rsidP="00C81E98">
      <w:r>
        <w:separator/>
      </w:r>
    </w:p>
  </w:footnote>
  <w:footnote w:type="continuationSeparator" w:id="0">
    <w:p w:rsidR="006F38C7" w:rsidRDefault="006F38C7" w:rsidP="00C81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98" w:rsidRDefault="0027520F" w:rsidP="00EB11F9">
    <w:pPr>
      <w:pStyle w:val="Header"/>
      <w:jc w:val="center"/>
    </w:pPr>
    <w:r>
      <w:rPr>
        <w:noProof/>
      </w:rPr>
      <w:drawing>
        <wp:inline distT="0" distB="0" distL="0" distR="0" wp14:anchorId="1355323A" wp14:editId="46749F68">
          <wp:extent cx="5274310" cy="686138"/>
          <wp:effectExtent l="0" t="0" r="2540" b="0"/>
          <wp:docPr id="2" name="Picture 2" descr="D:\PROJECTS\DEMO\Header for Excel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DEMO\Header for Excel 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86138"/>
                  </a:xfrm>
                  <a:prstGeom prst="rect">
                    <a:avLst/>
                  </a:prstGeom>
                  <a:noFill/>
                  <a:ln>
                    <a:noFill/>
                  </a:ln>
                </pic:spPr>
              </pic:pic>
            </a:graphicData>
          </a:graphic>
        </wp:inline>
      </w:drawing>
    </w:r>
  </w:p>
  <w:p w:rsidR="00C81E98" w:rsidRPr="00EB11F9" w:rsidRDefault="00C81E98" w:rsidP="00EB11F9">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D72"/>
    <w:multiLevelType w:val="hybridMultilevel"/>
    <w:tmpl w:val="30208EAC"/>
    <w:lvl w:ilvl="0" w:tplc="48E4B144">
      <w:start w:val="3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4D36BE6"/>
    <w:multiLevelType w:val="hybridMultilevel"/>
    <w:tmpl w:val="F404BEFE"/>
    <w:lvl w:ilvl="0" w:tplc="D57EC68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CB"/>
    <w:rsid w:val="00004742"/>
    <w:rsid w:val="00054D22"/>
    <w:rsid w:val="00216461"/>
    <w:rsid w:val="0027520F"/>
    <w:rsid w:val="0027627E"/>
    <w:rsid w:val="00477BFF"/>
    <w:rsid w:val="004B0402"/>
    <w:rsid w:val="00602112"/>
    <w:rsid w:val="006B3134"/>
    <w:rsid w:val="006F38C7"/>
    <w:rsid w:val="006F4E3E"/>
    <w:rsid w:val="007342FB"/>
    <w:rsid w:val="00746C09"/>
    <w:rsid w:val="0075095E"/>
    <w:rsid w:val="0087621A"/>
    <w:rsid w:val="008A55AE"/>
    <w:rsid w:val="008C1E86"/>
    <w:rsid w:val="008E3B5C"/>
    <w:rsid w:val="009C4DAC"/>
    <w:rsid w:val="00A300A9"/>
    <w:rsid w:val="00A8526E"/>
    <w:rsid w:val="00A9328E"/>
    <w:rsid w:val="00AE4A02"/>
    <w:rsid w:val="00B4212C"/>
    <w:rsid w:val="00C66E19"/>
    <w:rsid w:val="00C81E98"/>
    <w:rsid w:val="00D356F7"/>
    <w:rsid w:val="00DD7535"/>
    <w:rsid w:val="00EB11F9"/>
    <w:rsid w:val="00F461CB"/>
    <w:rsid w:val="00F73C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61CB"/>
    <w:rPr>
      <w:rFonts w:ascii="Tahoma" w:hAnsi="Tahoma" w:cs="Tahoma"/>
      <w:sz w:val="16"/>
      <w:szCs w:val="16"/>
    </w:rPr>
  </w:style>
  <w:style w:type="character" w:customStyle="1" w:styleId="BalloonTextChar">
    <w:name w:val="Balloon Text Char"/>
    <w:basedOn w:val="DefaultParagraphFont"/>
    <w:link w:val="BalloonText"/>
    <w:rsid w:val="00F461CB"/>
    <w:rPr>
      <w:rFonts w:ascii="Tahoma" w:hAnsi="Tahoma" w:cs="Tahoma"/>
      <w:sz w:val="16"/>
      <w:szCs w:val="16"/>
    </w:rPr>
  </w:style>
  <w:style w:type="paragraph" w:styleId="Header">
    <w:name w:val="header"/>
    <w:basedOn w:val="Normal"/>
    <w:link w:val="HeaderChar"/>
    <w:uiPriority w:val="99"/>
    <w:rsid w:val="00C81E98"/>
    <w:pPr>
      <w:tabs>
        <w:tab w:val="center" w:pos="4153"/>
        <w:tab w:val="right" w:pos="8306"/>
      </w:tabs>
    </w:pPr>
  </w:style>
  <w:style w:type="character" w:customStyle="1" w:styleId="HeaderChar">
    <w:name w:val="Header Char"/>
    <w:basedOn w:val="DefaultParagraphFont"/>
    <w:link w:val="Header"/>
    <w:uiPriority w:val="99"/>
    <w:rsid w:val="00C81E98"/>
    <w:rPr>
      <w:sz w:val="24"/>
      <w:szCs w:val="24"/>
    </w:rPr>
  </w:style>
  <w:style w:type="paragraph" w:styleId="Footer">
    <w:name w:val="footer"/>
    <w:basedOn w:val="Normal"/>
    <w:link w:val="FooterChar"/>
    <w:rsid w:val="00C81E98"/>
    <w:pPr>
      <w:tabs>
        <w:tab w:val="center" w:pos="4153"/>
        <w:tab w:val="right" w:pos="8306"/>
      </w:tabs>
    </w:pPr>
  </w:style>
  <w:style w:type="character" w:customStyle="1" w:styleId="FooterChar">
    <w:name w:val="Footer Char"/>
    <w:basedOn w:val="DefaultParagraphFont"/>
    <w:link w:val="Footer"/>
    <w:rsid w:val="00C81E98"/>
    <w:rPr>
      <w:sz w:val="24"/>
      <w:szCs w:val="24"/>
    </w:rPr>
  </w:style>
  <w:style w:type="paragraph" w:styleId="ListParagraph">
    <w:name w:val="List Paragraph"/>
    <w:basedOn w:val="Normal"/>
    <w:uiPriority w:val="34"/>
    <w:qFormat/>
    <w:rsid w:val="00746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61CB"/>
    <w:rPr>
      <w:rFonts w:ascii="Tahoma" w:hAnsi="Tahoma" w:cs="Tahoma"/>
      <w:sz w:val="16"/>
      <w:szCs w:val="16"/>
    </w:rPr>
  </w:style>
  <w:style w:type="character" w:customStyle="1" w:styleId="BalloonTextChar">
    <w:name w:val="Balloon Text Char"/>
    <w:basedOn w:val="DefaultParagraphFont"/>
    <w:link w:val="BalloonText"/>
    <w:rsid w:val="00F461CB"/>
    <w:rPr>
      <w:rFonts w:ascii="Tahoma" w:hAnsi="Tahoma" w:cs="Tahoma"/>
      <w:sz w:val="16"/>
      <w:szCs w:val="16"/>
    </w:rPr>
  </w:style>
  <w:style w:type="paragraph" w:styleId="Header">
    <w:name w:val="header"/>
    <w:basedOn w:val="Normal"/>
    <w:link w:val="HeaderChar"/>
    <w:uiPriority w:val="99"/>
    <w:rsid w:val="00C81E98"/>
    <w:pPr>
      <w:tabs>
        <w:tab w:val="center" w:pos="4153"/>
        <w:tab w:val="right" w:pos="8306"/>
      </w:tabs>
    </w:pPr>
  </w:style>
  <w:style w:type="character" w:customStyle="1" w:styleId="HeaderChar">
    <w:name w:val="Header Char"/>
    <w:basedOn w:val="DefaultParagraphFont"/>
    <w:link w:val="Header"/>
    <w:uiPriority w:val="99"/>
    <w:rsid w:val="00C81E98"/>
    <w:rPr>
      <w:sz w:val="24"/>
      <w:szCs w:val="24"/>
    </w:rPr>
  </w:style>
  <w:style w:type="paragraph" w:styleId="Footer">
    <w:name w:val="footer"/>
    <w:basedOn w:val="Normal"/>
    <w:link w:val="FooterChar"/>
    <w:rsid w:val="00C81E98"/>
    <w:pPr>
      <w:tabs>
        <w:tab w:val="center" w:pos="4153"/>
        <w:tab w:val="right" w:pos="8306"/>
      </w:tabs>
    </w:pPr>
  </w:style>
  <w:style w:type="character" w:customStyle="1" w:styleId="FooterChar">
    <w:name w:val="Footer Char"/>
    <w:basedOn w:val="DefaultParagraphFont"/>
    <w:link w:val="Footer"/>
    <w:rsid w:val="00C81E98"/>
    <w:rPr>
      <w:sz w:val="24"/>
      <w:szCs w:val="24"/>
    </w:rPr>
  </w:style>
  <w:style w:type="paragraph" w:styleId="ListParagraph">
    <w:name w:val="List Paragraph"/>
    <w:basedOn w:val="Normal"/>
    <w:uiPriority w:val="34"/>
    <w:qFormat/>
    <w:rsid w:val="00746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D65DC-60F4-4A7B-A1C4-6B5D8596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442</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Papadomarkakis, Ioannis</dc:creator>
  <cp:lastModifiedBy>Papadomarkakis, Ioannis</cp:lastModifiedBy>
  <cp:revision>6</cp:revision>
  <dcterms:created xsi:type="dcterms:W3CDTF">2012-07-25T11:08:00Z</dcterms:created>
  <dcterms:modified xsi:type="dcterms:W3CDTF">2012-07-31T10:56:00Z</dcterms:modified>
</cp:coreProperties>
</file>