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A5" w:rsidRPr="00E43B33" w:rsidRDefault="003F16A5" w:rsidP="003F16A5">
      <w:pPr>
        <w:spacing w:line="276" w:lineRule="auto"/>
        <w:ind w:right="55"/>
        <w:jc w:val="both"/>
        <w:rPr>
          <w:rFonts w:asciiTheme="majorHAnsi" w:hAnsiTheme="majorHAnsi"/>
          <w:sz w:val="24"/>
          <w:lang w:val="el-GR"/>
        </w:rPr>
      </w:pPr>
    </w:p>
    <w:p w:rsidR="00E43B33" w:rsidRPr="00E43B33" w:rsidRDefault="00E43B33" w:rsidP="00E43B33">
      <w:pPr>
        <w:spacing w:line="276" w:lineRule="auto"/>
        <w:ind w:right="55"/>
        <w:jc w:val="both"/>
        <w:rPr>
          <w:rFonts w:asciiTheme="majorHAnsi" w:hAnsiTheme="majorHAnsi"/>
          <w:sz w:val="24"/>
          <w:lang w:val="el-GR"/>
        </w:rPr>
      </w:pPr>
    </w:p>
    <w:p w:rsidR="00E43B33" w:rsidRPr="00E43B33" w:rsidRDefault="00E43B33" w:rsidP="00E43B33">
      <w:pPr>
        <w:spacing w:line="276" w:lineRule="auto"/>
        <w:ind w:right="55"/>
        <w:jc w:val="center"/>
        <w:rPr>
          <w:rFonts w:asciiTheme="majorHAnsi" w:hAnsiTheme="majorHAnsi"/>
          <w:sz w:val="24"/>
          <w:lang w:val="el-GR"/>
        </w:rPr>
      </w:pPr>
      <w:r w:rsidRPr="00E43B33">
        <w:rPr>
          <w:rFonts w:asciiTheme="majorHAnsi" w:hAnsiTheme="majorHAnsi"/>
          <w:sz w:val="24"/>
          <w:lang w:val="el-GR"/>
        </w:rPr>
        <w:t>Π Ρ Ο Σ Κ Λ Η Σ Η</w:t>
      </w:r>
    </w:p>
    <w:p w:rsidR="00E43B33" w:rsidRPr="00E43B33" w:rsidRDefault="00E43B33" w:rsidP="00E43B33">
      <w:pPr>
        <w:spacing w:line="276" w:lineRule="auto"/>
        <w:ind w:right="55"/>
        <w:jc w:val="center"/>
        <w:rPr>
          <w:rFonts w:asciiTheme="majorHAnsi" w:hAnsiTheme="majorHAnsi"/>
          <w:sz w:val="24"/>
          <w:lang w:val="el-GR"/>
        </w:rPr>
      </w:pPr>
      <w:r w:rsidRPr="00E43B33">
        <w:rPr>
          <w:rFonts w:asciiTheme="majorHAnsi" w:hAnsiTheme="majorHAnsi"/>
          <w:sz w:val="24"/>
          <w:lang w:val="el-GR"/>
        </w:rPr>
        <w:t xml:space="preserve">Προς τους  </w:t>
      </w:r>
      <w:proofErr w:type="spellStart"/>
      <w:r w:rsidRPr="00E43B33">
        <w:rPr>
          <w:rFonts w:asciiTheme="majorHAnsi" w:hAnsiTheme="majorHAnsi"/>
          <w:sz w:val="24"/>
          <w:lang w:val="el-GR"/>
        </w:rPr>
        <w:t>κ.κ</w:t>
      </w:r>
      <w:proofErr w:type="spellEnd"/>
      <w:r w:rsidRPr="00E43B33">
        <w:rPr>
          <w:rFonts w:asciiTheme="majorHAnsi" w:hAnsiTheme="majorHAnsi"/>
          <w:sz w:val="24"/>
          <w:lang w:val="el-GR"/>
        </w:rPr>
        <w:t>. Μετόχους  της Ανώνυμης Εταιρείας με την επωνυμία</w:t>
      </w:r>
    </w:p>
    <w:p w:rsidR="00E43B33" w:rsidRPr="00E43B33" w:rsidRDefault="00E43B33" w:rsidP="00E43B33">
      <w:pPr>
        <w:spacing w:line="276" w:lineRule="auto"/>
        <w:ind w:right="55"/>
        <w:jc w:val="center"/>
        <w:rPr>
          <w:rFonts w:asciiTheme="majorHAnsi" w:hAnsiTheme="majorHAnsi"/>
          <w:sz w:val="24"/>
          <w:lang w:val="el-GR"/>
        </w:rPr>
      </w:pPr>
      <w:r w:rsidRPr="00E43B33">
        <w:rPr>
          <w:rFonts w:asciiTheme="majorHAnsi" w:hAnsiTheme="majorHAnsi"/>
          <w:sz w:val="24"/>
          <w:lang w:val="el-GR"/>
        </w:rPr>
        <w:t>«ΞΕΝΟΔΟΧΕΙΑΚΑΙ – ΤΟΥΡΙΣΤΙΚΑΙ – ΟΙΚΟΔΟΜΙΚΑΙ</w:t>
      </w:r>
    </w:p>
    <w:p w:rsidR="00E43B33" w:rsidRPr="00E43B33" w:rsidRDefault="00E43B33" w:rsidP="00E43B33">
      <w:pPr>
        <w:spacing w:line="276" w:lineRule="auto"/>
        <w:ind w:right="55"/>
        <w:jc w:val="center"/>
        <w:rPr>
          <w:rFonts w:asciiTheme="majorHAnsi" w:hAnsiTheme="majorHAnsi"/>
          <w:sz w:val="24"/>
          <w:lang w:val="el-GR"/>
        </w:rPr>
      </w:pPr>
      <w:r w:rsidRPr="00E43B33">
        <w:rPr>
          <w:rFonts w:asciiTheme="majorHAnsi" w:hAnsiTheme="majorHAnsi"/>
          <w:sz w:val="24"/>
          <w:lang w:val="el-GR"/>
        </w:rPr>
        <w:t>ΚΑΙ ΛΑΤΟΜΙΚΑΙ ΕΠΙΧΕΙΡΗΣΕΙΣ</w:t>
      </w:r>
    </w:p>
    <w:p w:rsidR="00E43B33" w:rsidRPr="00E43B33" w:rsidRDefault="00E43B33" w:rsidP="00E43B33">
      <w:pPr>
        <w:spacing w:line="276" w:lineRule="auto"/>
        <w:ind w:right="55"/>
        <w:jc w:val="center"/>
        <w:rPr>
          <w:rFonts w:asciiTheme="majorHAnsi" w:hAnsiTheme="majorHAnsi"/>
          <w:sz w:val="24"/>
          <w:lang w:val="el-GR"/>
        </w:rPr>
      </w:pPr>
      <w:r w:rsidRPr="00E43B33">
        <w:rPr>
          <w:rFonts w:asciiTheme="majorHAnsi" w:hAnsiTheme="majorHAnsi"/>
          <w:sz w:val="24"/>
          <w:lang w:val="el-GR"/>
        </w:rPr>
        <w:t>Ο ΚΕΚΡΟΨ Α.Ε.»</w:t>
      </w:r>
    </w:p>
    <w:p w:rsidR="00E43B33" w:rsidRPr="00E43B33" w:rsidRDefault="00E43B33" w:rsidP="00E43B33">
      <w:pPr>
        <w:spacing w:line="276" w:lineRule="auto"/>
        <w:ind w:right="55"/>
        <w:jc w:val="center"/>
        <w:rPr>
          <w:rFonts w:asciiTheme="majorHAnsi" w:hAnsiTheme="majorHAnsi"/>
          <w:sz w:val="24"/>
          <w:lang w:val="el-GR"/>
        </w:rPr>
      </w:pPr>
      <w:r w:rsidRPr="00E43B33">
        <w:rPr>
          <w:rFonts w:asciiTheme="majorHAnsi" w:hAnsiTheme="majorHAnsi"/>
          <w:sz w:val="24"/>
          <w:lang w:val="el-GR"/>
        </w:rPr>
        <w:t>σε  Ετήσια Τακτική   Γενική  Συνέλευση</w:t>
      </w:r>
    </w:p>
    <w:p w:rsidR="00E43B33" w:rsidRPr="00E43B33" w:rsidRDefault="00E43B33" w:rsidP="00E43B33">
      <w:pPr>
        <w:spacing w:line="276" w:lineRule="auto"/>
        <w:ind w:right="55"/>
        <w:jc w:val="center"/>
        <w:rPr>
          <w:rFonts w:asciiTheme="majorHAnsi" w:hAnsiTheme="majorHAnsi"/>
          <w:sz w:val="24"/>
          <w:lang w:val="el-GR"/>
        </w:rPr>
      </w:pPr>
      <w:r w:rsidRPr="00E43B33">
        <w:rPr>
          <w:rFonts w:asciiTheme="majorHAnsi" w:hAnsiTheme="majorHAnsi"/>
          <w:sz w:val="24"/>
          <w:lang w:val="el-GR"/>
        </w:rPr>
        <w:t>Γ.Ε.ΜΗ 223301000</w:t>
      </w:r>
    </w:p>
    <w:p w:rsidR="00E43B33" w:rsidRPr="00E43B33" w:rsidRDefault="00E43B33" w:rsidP="00E43B33">
      <w:pPr>
        <w:spacing w:line="276" w:lineRule="auto"/>
        <w:ind w:right="55"/>
        <w:jc w:val="center"/>
        <w:rPr>
          <w:rFonts w:asciiTheme="majorHAnsi" w:hAnsiTheme="majorHAnsi"/>
          <w:sz w:val="24"/>
          <w:lang w:val="el-GR"/>
        </w:rPr>
      </w:pPr>
      <w:r w:rsidRPr="00E43B33">
        <w:rPr>
          <w:rFonts w:asciiTheme="majorHAnsi" w:hAnsiTheme="majorHAnsi"/>
          <w:sz w:val="24"/>
          <w:lang w:val="el-GR"/>
        </w:rPr>
        <w:t>(πρώην Μ.Α.Ε. 13063/06/Β/86/134)</w:t>
      </w:r>
    </w:p>
    <w:p w:rsidR="00E43B33" w:rsidRPr="00E43B33" w:rsidRDefault="00E43B33" w:rsidP="00E43B33">
      <w:pPr>
        <w:spacing w:line="276" w:lineRule="auto"/>
        <w:ind w:right="55"/>
        <w:jc w:val="center"/>
        <w:rPr>
          <w:rFonts w:asciiTheme="majorHAnsi" w:hAnsiTheme="majorHAnsi"/>
          <w:sz w:val="24"/>
          <w:lang w:val="el-GR"/>
        </w:rPr>
      </w:pP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Σύμφωνα με τον Νόμο και το Καταστατικό της Εταιρείας και μετά την από 27 Μαΐου 2014   απόφαση του Διοικητικού της Συμβουλίου, καλούνται οι </w:t>
      </w:r>
      <w:proofErr w:type="spellStart"/>
      <w:r w:rsidRPr="00E43B33">
        <w:rPr>
          <w:rFonts w:asciiTheme="majorHAnsi" w:hAnsiTheme="majorHAnsi"/>
          <w:sz w:val="24"/>
          <w:lang w:val="el-GR"/>
        </w:rPr>
        <w:t>κ.κ</w:t>
      </w:r>
      <w:proofErr w:type="spellEnd"/>
      <w:r w:rsidRPr="00E43B33">
        <w:rPr>
          <w:rFonts w:asciiTheme="majorHAnsi" w:hAnsiTheme="majorHAnsi"/>
          <w:sz w:val="24"/>
          <w:lang w:val="el-GR"/>
        </w:rPr>
        <w:t xml:space="preserve">. Μέτοχοι της Ανώνυμης Εταιρείας με την επωνυμία “Ξενοδοχειακαί – Τουριστικαί – Οικοδομικαί και Λατομικαί Επιχειρήσεις Ο ΚΕΚΡΟΨ Α.Ε.” σε Ετήσια Τακτική Γενική Συνέλευση  </w:t>
      </w:r>
      <w:r w:rsidRPr="00E43B33">
        <w:rPr>
          <w:rFonts w:asciiTheme="majorHAnsi" w:hAnsiTheme="majorHAnsi"/>
          <w:b/>
          <w:sz w:val="24"/>
          <w:lang w:val="el-GR"/>
        </w:rPr>
        <w:t>την  18</w:t>
      </w:r>
      <w:r w:rsidRPr="00E43B33">
        <w:rPr>
          <w:rFonts w:asciiTheme="majorHAnsi" w:hAnsiTheme="majorHAnsi"/>
          <w:b/>
          <w:sz w:val="24"/>
          <w:vertAlign w:val="superscript"/>
          <w:lang w:val="el-GR"/>
        </w:rPr>
        <w:t>η</w:t>
      </w:r>
      <w:r w:rsidRPr="00E43B33">
        <w:rPr>
          <w:rFonts w:asciiTheme="majorHAnsi" w:hAnsiTheme="majorHAnsi"/>
          <w:b/>
          <w:sz w:val="24"/>
          <w:lang w:val="el-GR"/>
        </w:rPr>
        <w:t xml:space="preserve">   Ιουνίου 2014,  ημέρα  Τετάρτη και ώρα 10.00 </w:t>
      </w:r>
      <w:proofErr w:type="spellStart"/>
      <w:r w:rsidRPr="00E43B33">
        <w:rPr>
          <w:rFonts w:asciiTheme="majorHAnsi" w:hAnsiTheme="majorHAnsi"/>
          <w:b/>
          <w:sz w:val="24"/>
          <w:lang w:val="el-GR"/>
        </w:rPr>
        <w:t>π.μ</w:t>
      </w:r>
      <w:proofErr w:type="spellEnd"/>
      <w:r w:rsidRPr="00E43B33">
        <w:rPr>
          <w:rFonts w:asciiTheme="majorHAnsi" w:hAnsiTheme="majorHAnsi"/>
          <w:sz w:val="24"/>
          <w:lang w:val="el-GR"/>
        </w:rPr>
        <w:t>. στα γραφεία της έδρας της Εταιρείας, στο Π. Ψυχικό Αττικής, οδός Δάφνης αριθ. 6, για συζήτηση και λήψη αποφάσεων επί των κατωτέρω θεμάτων της Ημερήσιας Διάταξης.</w:t>
      </w:r>
    </w:p>
    <w:p w:rsidR="00E43B33" w:rsidRPr="00E43B33" w:rsidRDefault="00E43B33" w:rsidP="00E43B33">
      <w:pPr>
        <w:spacing w:line="276" w:lineRule="auto"/>
        <w:ind w:right="55"/>
        <w:jc w:val="center"/>
        <w:rPr>
          <w:rFonts w:asciiTheme="majorHAnsi" w:hAnsiTheme="majorHAnsi"/>
          <w:b/>
          <w:sz w:val="24"/>
          <w:lang w:val="el-GR"/>
        </w:rPr>
      </w:pPr>
      <w:r w:rsidRPr="00E43B33">
        <w:rPr>
          <w:rFonts w:asciiTheme="majorHAnsi" w:hAnsiTheme="majorHAnsi"/>
          <w:b/>
          <w:sz w:val="24"/>
          <w:lang w:val="el-GR"/>
        </w:rPr>
        <w:t>Θέματα Ημερήσιας Διάταξης</w:t>
      </w:r>
    </w:p>
    <w:p w:rsidR="00E43B33" w:rsidRPr="00E43B33" w:rsidRDefault="00E43B33" w:rsidP="00E43B33">
      <w:pPr>
        <w:pStyle w:val="a5"/>
        <w:numPr>
          <w:ilvl w:val="0"/>
          <w:numId w:val="1"/>
        </w:numPr>
        <w:spacing w:line="276" w:lineRule="auto"/>
        <w:ind w:right="55"/>
        <w:jc w:val="both"/>
        <w:rPr>
          <w:rFonts w:asciiTheme="majorHAnsi" w:hAnsiTheme="majorHAnsi"/>
          <w:sz w:val="24"/>
          <w:lang w:val="el-GR"/>
        </w:rPr>
      </w:pPr>
      <w:r w:rsidRPr="00E43B33">
        <w:rPr>
          <w:rFonts w:asciiTheme="majorHAnsi" w:hAnsiTheme="majorHAnsi"/>
          <w:sz w:val="24"/>
          <w:lang w:val="el-GR"/>
        </w:rPr>
        <w:t>Υποβολή προς έγκριση των Ετήσιων  Οικονομικών Καταστάσεων σύμφωνα με τα Διεθνή Πρότυπα Χρηματοοικονομικής Αναφοράς της εταιρικής χρήσης από 01.01.2013 έως 31.12.2013, έπειτα από ακρόαση και έγκριση των σχετικών Εκθέσεων του Διοικητικού Συμβουλίου περί των πεπραγμένων της ως άνω χρήσης και του Ορκωτού Ελεγκτή Λογιστή.</w:t>
      </w:r>
    </w:p>
    <w:p w:rsidR="00E43B33" w:rsidRPr="00E43B33" w:rsidRDefault="00E43B33" w:rsidP="00E43B33">
      <w:pPr>
        <w:pStyle w:val="a5"/>
        <w:numPr>
          <w:ilvl w:val="0"/>
          <w:numId w:val="1"/>
        </w:numPr>
        <w:spacing w:line="276" w:lineRule="auto"/>
        <w:ind w:right="57"/>
        <w:jc w:val="both"/>
        <w:rPr>
          <w:rFonts w:asciiTheme="majorHAnsi" w:hAnsiTheme="majorHAnsi"/>
          <w:sz w:val="24"/>
          <w:lang w:val="el-GR"/>
        </w:rPr>
      </w:pPr>
      <w:r w:rsidRPr="00E43B33">
        <w:rPr>
          <w:rFonts w:asciiTheme="majorHAnsi" w:hAnsiTheme="majorHAnsi"/>
          <w:sz w:val="24"/>
          <w:lang w:val="el-GR"/>
        </w:rPr>
        <w:t xml:space="preserve">Απαλλαγή των Μελών του Διοικητικού Συμβουλίου και του Ορκωτού Ελεγκτή Λογιστή από κάθε ευθύνη αποζημίωσης για τη διαχείριση των εταιρικών υποθέσεων, τη σύνταξη και τον έλεγχο των Ετήσιων Οικονομικών Καταστάσεων της  χρήσης 01.01.2013  έως 31.12.2013. </w:t>
      </w:r>
    </w:p>
    <w:p w:rsidR="00E43B33" w:rsidRPr="00E43B33" w:rsidRDefault="00E43B33" w:rsidP="00E43B33">
      <w:pPr>
        <w:numPr>
          <w:ilvl w:val="0"/>
          <w:numId w:val="1"/>
        </w:numPr>
        <w:spacing w:line="276" w:lineRule="auto"/>
        <w:ind w:right="57"/>
        <w:jc w:val="both"/>
        <w:rPr>
          <w:rFonts w:asciiTheme="majorHAnsi" w:hAnsiTheme="majorHAnsi"/>
          <w:sz w:val="24"/>
          <w:lang w:val="el-GR"/>
        </w:rPr>
      </w:pPr>
      <w:r w:rsidRPr="00E43B33">
        <w:rPr>
          <w:rFonts w:asciiTheme="majorHAnsi" w:hAnsiTheme="majorHAnsi"/>
          <w:sz w:val="24"/>
          <w:lang w:val="el-GR"/>
        </w:rPr>
        <w:t>Εκλογή νέου  Διοικητικού Συμβουλίου, λόγω της λήξεως της θητείας αυτού, και ορισμός των ανεξαρτήτων μελών του, σύμφωνα με το Ν. 3016/2002, όπως τροποποιημένος ισχύει.</w:t>
      </w:r>
    </w:p>
    <w:p w:rsidR="00E43B33" w:rsidRPr="00E43B33" w:rsidRDefault="00E43B33" w:rsidP="00E43B33">
      <w:pPr>
        <w:numPr>
          <w:ilvl w:val="0"/>
          <w:numId w:val="1"/>
        </w:numPr>
        <w:spacing w:line="276" w:lineRule="auto"/>
        <w:ind w:right="57"/>
        <w:jc w:val="both"/>
        <w:rPr>
          <w:rFonts w:asciiTheme="majorHAnsi" w:hAnsiTheme="majorHAnsi"/>
          <w:sz w:val="24"/>
          <w:lang w:val="el-GR"/>
        </w:rPr>
      </w:pPr>
      <w:r w:rsidRPr="00E43B33">
        <w:rPr>
          <w:rFonts w:asciiTheme="majorHAnsi" w:hAnsiTheme="majorHAnsi"/>
          <w:sz w:val="24"/>
          <w:lang w:val="el-GR"/>
        </w:rPr>
        <w:t>Ορισμός  Μελών Επιτροπής  Ελέγχου, σύμφωνα με το άρθρο 37 του Ν. 3693/2008.</w:t>
      </w:r>
    </w:p>
    <w:p w:rsidR="00E43B33" w:rsidRPr="00E43B33" w:rsidRDefault="00E43B33" w:rsidP="00E43B33">
      <w:pPr>
        <w:pStyle w:val="a5"/>
        <w:numPr>
          <w:ilvl w:val="0"/>
          <w:numId w:val="1"/>
        </w:numPr>
        <w:spacing w:line="276" w:lineRule="auto"/>
        <w:ind w:right="55"/>
        <w:jc w:val="both"/>
        <w:rPr>
          <w:rFonts w:asciiTheme="majorHAnsi" w:hAnsiTheme="majorHAnsi"/>
          <w:sz w:val="24"/>
          <w:lang w:val="el-GR"/>
        </w:rPr>
      </w:pPr>
      <w:r w:rsidRPr="00E43B33">
        <w:rPr>
          <w:rFonts w:asciiTheme="majorHAnsi" w:hAnsiTheme="majorHAnsi"/>
          <w:sz w:val="24"/>
          <w:lang w:val="el-GR"/>
        </w:rPr>
        <w:t>Εκλογή Ορκωτού  Ελεγκτή - Λογιστή για τον έλεγχο της χρήσης από 01.01.2014 έως 31.12.2014  και καθορισμός της αμοιβής του.</w:t>
      </w:r>
    </w:p>
    <w:p w:rsidR="00E43B33" w:rsidRPr="00E43B33" w:rsidRDefault="00E43B33" w:rsidP="00E43B33">
      <w:pPr>
        <w:pStyle w:val="a5"/>
        <w:numPr>
          <w:ilvl w:val="0"/>
          <w:numId w:val="1"/>
        </w:num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Λήψη απόφασης, σύμφωνα με τις διατάξεις των παρ. 12 και 13 του άρθρου 72 του  Ν. 4172/2013, σχετικά με τα  Αφορολόγητα Αποθεματικά της Εταιρείας  που σχηματίσθηκαν  </w:t>
      </w:r>
      <w:proofErr w:type="spellStart"/>
      <w:r w:rsidRPr="00E43B33">
        <w:rPr>
          <w:rFonts w:asciiTheme="majorHAnsi" w:hAnsiTheme="majorHAnsi"/>
          <w:sz w:val="24"/>
          <w:lang w:val="el-GR"/>
        </w:rPr>
        <w:t>κατ΄</w:t>
      </w:r>
      <w:proofErr w:type="spellEnd"/>
      <w:r w:rsidRPr="00E43B33">
        <w:rPr>
          <w:rFonts w:asciiTheme="majorHAnsi" w:hAnsiTheme="majorHAnsi"/>
          <w:sz w:val="24"/>
          <w:lang w:val="el-GR"/>
        </w:rPr>
        <w:t xml:space="preserve"> εφαρμογή των διατάξεων του Ν. 2238/1994. </w:t>
      </w:r>
    </w:p>
    <w:p w:rsidR="00E43B33" w:rsidRPr="00E43B33" w:rsidRDefault="00E43B33" w:rsidP="00E43B33">
      <w:pPr>
        <w:pStyle w:val="a5"/>
        <w:numPr>
          <w:ilvl w:val="0"/>
          <w:numId w:val="1"/>
        </w:num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Παροχή αδείας στα μέλη του Διοικητικού Συμβουλίου της Εταιρείας και στους Διευθυντές αυτής να μετέχουν στα Διοικητικά Συμβούλια ή στη </w:t>
      </w:r>
      <w:r w:rsidRPr="00E43B33">
        <w:rPr>
          <w:rFonts w:asciiTheme="majorHAnsi" w:hAnsiTheme="majorHAnsi"/>
          <w:sz w:val="24"/>
          <w:lang w:val="el-GR"/>
        </w:rPr>
        <w:lastRenderedPageBreak/>
        <w:t>διοίκηση άλλων συνδεδεμένων, κατά την έννοια του άρθρου 42ε του Κ.Ν. 2190/20, εταιρειών, καθώς και να ενεργούν πράξεις που υπάγονται σε κάποιον από τους σκοπούς που επιδιώκει η Εταιρεία.</w:t>
      </w:r>
    </w:p>
    <w:p w:rsidR="00E43B33" w:rsidRPr="00E43B33" w:rsidRDefault="00E43B33" w:rsidP="00E43B33">
      <w:pPr>
        <w:pStyle w:val="a5"/>
        <w:numPr>
          <w:ilvl w:val="0"/>
          <w:numId w:val="1"/>
        </w:numPr>
        <w:spacing w:line="276" w:lineRule="auto"/>
        <w:ind w:right="55"/>
        <w:jc w:val="both"/>
        <w:rPr>
          <w:rFonts w:asciiTheme="majorHAnsi" w:hAnsiTheme="majorHAnsi"/>
          <w:sz w:val="24"/>
          <w:lang w:val="el-GR"/>
        </w:rPr>
      </w:pPr>
      <w:r w:rsidRPr="00E43B33">
        <w:rPr>
          <w:rFonts w:asciiTheme="majorHAnsi" w:hAnsiTheme="majorHAnsi"/>
          <w:sz w:val="24"/>
          <w:lang w:val="el-GR"/>
        </w:rPr>
        <w:t>Ανακοινώσεις.</w:t>
      </w:r>
    </w:p>
    <w:p w:rsidR="00E43B33" w:rsidRPr="00E43B33" w:rsidRDefault="00E43B33" w:rsidP="00E43B33">
      <w:pPr>
        <w:spacing w:line="276" w:lineRule="auto"/>
        <w:ind w:right="55"/>
        <w:jc w:val="both"/>
        <w:rPr>
          <w:rFonts w:asciiTheme="majorHAnsi" w:hAnsiTheme="majorHAnsi"/>
          <w:b/>
          <w:sz w:val="24"/>
          <w:lang w:val="el-GR"/>
        </w:rPr>
      </w:pPr>
      <w:r w:rsidRPr="00E43B33">
        <w:rPr>
          <w:rFonts w:asciiTheme="majorHAnsi" w:hAnsiTheme="majorHAnsi"/>
          <w:b/>
          <w:sz w:val="24"/>
          <w:lang w:val="el-GR"/>
        </w:rPr>
        <w:t xml:space="preserve">Α.     ΔΙΚΑΙΩΜΑ ΣΥΜΜΕΤΟΧΗΣ ΚΑΙ ΨΗΦΟΥ </w:t>
      </w:r>
    </w:p>
    <w:p w:rsidR="00E43B33" w:rsidRPr="00E43B33" w:rsidRDefault="00E43B33" w:rsidP="00E43B33">
      <w:pPr>
        <w:spacing w:line="276" w:lineRule="auto"/>
        <w:ind w:right="55"/>
        <w:jc w:val="both"/>
        <w:rPr>
          <w:rFonts w:asciiTheme="majorHAnsi" w:hAnsiTheme="majorHAnsi"/>
          <w:b/>
          <w:sz w:val="24"/>
          <w:lang w:val="el-GR"/>
        </w:rPr>
      </w:pP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Στην Τακτική  Γενική Συνέλευση δικαιούται  να συμμετέχει και να ψηφίζει όποιος  εμφανίζεται ως Μέτοχος  στα αρχεία του Συστήματος Άυλων Τίτλων που διαχειρίζεται η «Ελληνικά Χρηματιστήρια Α.Ε» («Ε.Χ.Α.Ε.»), στο οποίο τηρούνται οι κινητές αξίες της Εταιρείας.</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Η απόδειξη της μετοχικής ιδιότητας γίνεται με την προσκόμιση σχετικής έγγραφης βεβαίωσης του παραπάνω φορέα, ή, εναλλακτικά με απευθείας ηλεκτρονική σύνδεση της Εταιρείας με τα αρχεία του ως άνω φορέα.  Η ιδιότητα του Μετόχου πρέπει  να υφίσταται κατά την 13.06.2014 (Ημερομηνία Καταγραφής), δηλαδή κατά την έναρξη της (5ης) πέμπτης ημέρας πριν από τη Συνεδρίαση της Τακτικής  Γενικής Συνέλευσης  της 18.06.2014  και η σχετική έγγραφη βεβαίωση ή εναλλακτικά η ηλεκτρονική πιστοποίηση της  μετοχικής ιδιότητας θα πρέπει να περιέλθει στην Εταιρεία  το αργότερο την 15.06.2014, δηλαδή την τρίτη (3η)  ημέρα πριν από την συνεδρίαση της  Τακτικής  Γενικής Συνέλευσης.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 2190/1920, ο εν λόγω Μέτοχος μετέχει στη Γενική Συνέλευση μόνο μετά από άδειά της.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Η άσκηση των παραπάνω  δικαιωμάτων (συμμετοχής και ψήφου)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στην ημερομηνία  διεξαγωγής της Γενικής Συνέλευσης.</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Κάθε μετοχή δίνει το δικαίωμα μίας (1) ψήφου.</w:t>
      </w:r>
    </w:p>
    <w:p w:rsidR="00E43B33" w:rsidRPr="00E43B33" w:rsidRDefault="00E43B33" w:rsidP="00E43B33">
      <w:pPr>
        <w:spacing w:line="276" w:lineRule="auto"/>
        <w:ind w:right="55"/>
        <w:jc w:val="both"/>
        <w:rPr>
          <w:rFonts w:asciiTheme="majorHAnsi" w:hAnsiTheme="majorHAnsi"/>
          <w:sz w:val="24"/>
          <w:lang w:val="el-GR"/>
        </w:rPr>
      </w:pPr>
    </w:p>
    <w:p w:rsidR="00E43B33" w:rsidRPr="00E43B33" w:rsidRDefault="00E43B33" w:rsidP="00E43B33">
      <w:pPr>
        <w:spacing w:line="276" w:lineRule="auto"/>
        <w:ind w:right="55"/>
        <w:jc w:val="both"/>
        <w:rPr>
          <w:rFonts w:asciiTheme="majorHAnsi" w:hAnsiTheme="majorHAnsi"/>
          <w:b/>
          <w:sz w:val="24"/>
          <w:lang w:val="el-GR"/>
        </w:rPr>
      </w:pPr>
      <w:r w:rsidRPr="00E43B33">
        <w:rPr>
          <w:rFonts w:asciiTheme="majorHAnsi" w:hAnsiTheme="majorHAnsi"/>
          <w:b/>
          <w:sz w:val="24"/>
          <w:lang w:val="el-GR"/>
        </w:rPr>
        <w:t>Β.</w:t>
      </w:r>
      <w:r w:rsidRPr="00E43B33">
        <w:rPr>
          <w:rFonts w:asciiTheme="majorHAnsi" w:hAnsiTheme="majorHAnsi"/>
          <w:b/>
          <w:sz w:val="24"/>
          <w:lang w:val="el-GR"/>
        </w:rPr>
        <w:tab/>
        <w:t>ΔΙΚΑΙΩΜΑΤΑ ΤΩΝ ΜΕΤΟΧΩΝ ΜΕΙΟΨΗΦΙΑΣ</w:t>
      </w:r>
    </w:p>
    <w:p w:rsidR="00E43B33" w:rsidRPr="00E43B33" w:rsidRDefault="00E43B33" w:rsidP="00E43B33">
      <w:pPr>
        <w:spacing w:line="276" w:lineRule="auto"/>
        <w:ind w:right="55"/>
        <w:jc w:val="both"/>
        <w:rPr>
          <w:rFonts w:asciiTheme="majorHAnsi" w:hAnsiTheme="majorHAnsi"/>
          <w:sz w:val="24"/>
          <w:lang w:val="el-GR"/>
        </w:rPr>
      </w:pP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Μέτοχοι που εκπροσωπούν το ένα εικοστό (1/20 ) του καταβεβλημένου εταιρικού κεφαλαίου  της Εταιρείας μπορούν να αιτηθούν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την εγγραφή  πρόσθετων θεμάτων στην Ημερήσια Διάταξη της Ετήσιας Τακτικής Γενικής Συνέλευσης με αίτησή τους, η οποία θα συνοδεύεται από αιτιολόγηση ή από σχέδιο απόφασης  προς έγκριση από τη Γενική Συνέλευση, και η οποία  θα περιέλθει στο Διοικητικό Συμβούλιο μέχρι την 03.06.2014 δηλαδή  δεκαπέντε (15) τουλάχιστον ημέρες πριν από την  Γενική Συνέλευση,</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lastRenderedPageBreak/>
        <w:t xml:space="preserve">- να τεθούν στην διάθεση των Μετόχων σχέδια αποφάσεων για θέματα που έχουν περιληφθεί στη αρχική ή την αναθεωρημένη Ημερήσια Διάταξη, αν η σχετική αίτηση περιέλθει στο Διοικητικό Συμβούλιο μέχρι την 11.06.2014, δηλ. επτά (7) τουλάχιστον ημέρες πριν από την ημερομηνία της Γενικής Συνέλευσης, με αίτησή τους η οποία  θα περιέλθει στο Διοικητικό Συμβούλιο το αργότερο μέχρι την 12.06.2014, ήτοι έξι (6) τουλάχιστον ημέρες πριν από την ημερομηνία της Γενικής Συνέλευσης.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Οποιοσδήποτε Μέτοχος μπορεί να αιτηθεί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με αίτησή του που υποβάλλεται στην Εταιρεία μέχρι την 12.06.2014, ήτοι πέντε (5) τουλάχιστον πλήρεις ημέρες πριν από τη Γενική Συνέλευση.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Μέτοχοι που εκπροσωπούν το ένα πέμπτο  (1/5 ) του καταβεβλημένου  μετοχικού  κεφαλαίου  της Εταιρείας μπορούν να αιτηθούν πληροφορίες για την πορεία των εταιρικών υποθέσεων και την περιουσιακή κατάσταση της Εταιρείας, με αίτησή τους που υποβάλλεται στην Εταιρεία μέχρι την 12.06. 2014, δηλ. πέντε (5) τουλάχιστον πλήρεις ημέρες πριν από τη Γενική Συνέλευση.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 Αναλυτικές πληροφορίες αναφορικά με τα  ως άνω δικαιώματα  μειοψηφίας  των Μετόχων  και τους επί μέρους όρους άσκησής τους  είναι διαθέσιμες στην ιστοσελίδα της Εταιρείας  (</w:t>
      </w:r>
      <w:hyperlink r:id="rId5" w:history="1">
        <w:r w:rsidRPr="00E43B33">
          <w:rPr>
            <w:rFonts w:asciiTheme="majorHAnsi" w:hAnsiTheme="majorHAnsi"/>
            <w:sz w:val="24"/>
            <w:lang w:val="el-GR"/>
          </w:rPr>
          <w:t>www.kekrops.gr</w:t>
        </w:r>
      </w:hyperlink>
      <w:r w:rsidRPr="00E43B33">
        <w:rPr>
          <w:rFonts w:asciiTheme="majorHAnsi" w:hAnsiTheme="majorHAnsi"/>
          <w:sz w:val="24"/>
          <w:lang w:val="el-GR"/>
        </w:rPr>
        <w:t xml:space="preserve">). </w:t>
      </w:r>
    </w:p>
    <w:p w:rsidR="00E43B33" w:rsidRPr="00E43B33" w:rsidRDefault="00E43B33" w:rsidP="00E43B33">
      <w:pPr>
        <w:spacing w:line="276" w:lineRule="auto"/>
        <w:ind w:right="55"/>
        <w:jc w:val="both"/>
        <w:rPr>
          <w:rFonts w:asciiTheme="majorHAnsi" w:hAnsiTheme="majorHAnsi"/>
          <w:sz w:val="24"/>
          <w:lang w:val="el-GR"/>
        </w:rPr>
      </w:pPr>
    </w:p>
    <w:p w:rsidR="00E43B33" w:rsidRPr="00E43B33" w:rsidRDefault="00E43B33" w:rsidP="00E43B33">
      <w:pPr>
        <w:spacing w:line="276" w:lineRule="auto"/>
        <w:ind w:right="55"/>
        <w:jc w:val="both"/>
        <w:rPr>
          <w:rFonts w:asciiTheme="majorHAnsi" w:hAnsiTheme="majorHAnsi"/>
          <w:b/>
          <w:sz w:val="24"/>
          <w:lang w:val="el-GR"/>
        </w:rPr>
      </w:pPr>
      <w:r w:rsidRPr="00E43B33">
        <w:rPr>
          <w:rFonts w:asciiTheme="majorHAnsi" w:hAnsiTheme="majorHAnsi"/>
          <w:b/>
          <w:sz w:val="24"/>
          <w:lang w:val="el-GR"/>
        </w:rPr>
        <w:t>Γ.</w:t>
      </w:r>
      <w:r w:rsidRPr="00E43B33">
        <w:rPr>
          <w:rFonts w:asciiTheme="majorHAnsi" w:hAnsiTheme="majorHAnsi"/>
          <w:b/>
          <w:sz w:val="24"/>
          <w:lang w:val="el-GR"/>
        </w:rPr>
        <w:tab/>
        <w:t>ΔΙΑΔΙΚΑΣΙΑ ΣΥΜΜΕΤΟΧΗΣ ΚΑΙ  ΨΗΦΟΥ ΜΕΣΩ ΑΝΤΙΠΡΟΣΩΠΟΥ</w:t>
      </w:r>
    </w:p>
    <w:p w:rsidR="00E43B33" w:rsidRPr="00E43B33" w:rsidRDefault="00E43B33" w:rsidP="00E43B33">
      <w:pPr>
        <w:spacing w:line="276" w:lineRule="auto"/>
        <w:ind w:right="55"/>
        <w:jc w:val="both"/>
        <w:rPr>
          <w:rFonts w:asciiTheme="majorHAnsi" w:hAnsiTheme="majorHAnsi"/>
          <w:b/>
          <w:sz w:val="24"/>
          <w:lang w:val="el-GR"/>
        </w:rPr>
      </w:pP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Ο Μέτοχος συμμετέχει στη Γενική Συνέλευση και ψηφίζει είτε αυτοπροσώπως, είτε μέσω αντιπροσώπων. Κάθε Μέτοχος μπορεί να διορίζει μέχρι τρεις (3) αντιπροσώπους. Νομικά πρόσωπα Μέτοχοι μετέχουν στη Γενική Συνέλευση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περισσοτέρους μετόχους μπορεί να ψηφίζει διαφορετικά για κάθε Μέτοχο.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είναι: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α) Μέτοχος που ασκεί τον έλεγχο της Εταιρείας ή είναι άλλο νομικό πρόσωπο ή οντότητα η οποία ελέγχεται από το Μέτοχο αυτόν,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lastRenderedPageBreak/>
        <w:t xml:space="preserve">β)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γ)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δ) σύζυγος ή συγγενής πρώτου βαθμού με ένα από τα φυσικά πρόσωπα που αναφέρονται στις περιπτώσεις (α) έως (γ).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Ο διορισμός και η ανάκληση αντιπροσώπου του Μετόχου γίνεται εγγράφως και κοινοποιείται στην Εταιρεία με τους ίδιους τύπους, τουλάχιστον τρείς (3) ημέρες πριν από την ημερομηνία συνεδρίασης της Γενικής Συνέλευσης.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Η Εταιρεία έχει καταστήσει διαθέσιμο στην ιστοσελίδα της (</w:t>
      </w:r>
      <w:hyperlink r:id="rId6" w:history="1">
        <w:r w:rsidRPr="00E43B33">
          <w:rPr>
            <w:rFonts w:asciiTheme="majorHAnsi" w:hAnsiTheme="majorHAnsi"/>
            <w:sz w:val="24"/>
            <w:lang w:val="el-GR"/>
          </w:rPr>
          <w:t>www.kekrops.gr</w:t>
        </w:r>
      </w:hyperlink>
      <w:r w:rsidRPr="00E43B33">
        <w:rPr>
          <w:rFonts w:asciiTheme="majorHAnsi" w:hAnsiTheme="majorHAnsi"/>
          <w:sz w:val="24"/>
          <w:lang w:val="el-GR"/>
        </w:rPr>
        <w:t xml:space="preserve">) το έντυπο που χρησιμοποιεί για το διορισμό αντιπροσώπου. Το εν λόγω έντυπο κατατίθεται συμπληρωμένο και υπογεγραμμένο από το Μέτοχο στο Τμήμα Εξυπηρέτησης μετόχων της Εταιρείας στην έδρα της Εταιρείας στην οδό Δάφνης 6, Παλαιό Ψυχικό ,  ή αποστέλλεται </w:t>
      </w:r>
      <w:proofErr w:type="spellStart"/>
      <w:r w:rsidRPr="00E43B33">
        <w:rPr>
          <w:rFonts w:asciiTheme="majorHAnsi" w:hAnsiTheme="majorHAnsi"/>
          <w:sz w:val="24"/>
          <w:lang w:val="el-GR"/>
        </w:rPr>
        <w:t>τηλεομοιοτυπικώς</w:t>
      </w:r>
      <w:proofErr w:type="spellEnd"/>
      <w:r w:rsidRPr="00E43B33">
        <w:rPr>
          <w:rFonts w:asciiTheme="majorHAnsi" w:hAnsiTheme="majorHAnsi"/>
          <w:sz w:val="24"/>
          <w:lang w:val="el-GR"/>
        </w:rPr>
        <w:t xml:space="preserve"> στο </w:t>
      </w:r>
      <w:proofErr w:type="spellStart"/>
      <w:r w:rsidRPr="00E43B33">
        <w:rPr>
          <w:rFonts w:asciiTheme="majorHAnsi" w:hAnsiTheme="majorHAnsi"/>
          <w:sz w:val="24"/>
          <w:lang w:val="el-GR"/>
        </w:rPr>
        <w:t>fax</w:t>
      </w:r>
      <w:proofErr w:type="spellEnd"/>
      <w:r w:rsidRPr="00E43B33">
        <w:rPr>
          <w:rFonts w:asciiTheme="majorHAnsi" w:hAnsiTheme="majorHAnsi"/>
          <w:sz w:val="24"/>
          <w:lang w:val="el-GR"/>
        </w:rPr>
        <w:t xml:space="preserve"> 210.67.14.146  τρεις (3) τουλάχιστον ημέρες πριν από την ημερομηνία της Γενικής Συνέλευσης. Ο δικαιούχος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τηλέφωνο: 210. 67.12.071. </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Το Καταστατικό της Εταιρείας προβλέπει και τη δυνατότητα εξ αποστάσεως συμμετοχής των Μετόχων στη ψηφοφορία, δεν έχουν εκδοθεί ωστόσο οι σχετικές υπουργικές αποφάσεις που αφορούν στις ελάχιστες τεχνικές προδιαγραφές για τη διασφάλιση της ταυτότητας του ψηφίζοντος Μετόχου καθώς και την ασφάλεια της ηλεκτρονικής ή άλλης σύνδεσης.</w:t>
      </w:r>
    </w:p>
    <w:p w:rsidR="00E43B33" w:rsidRPr="00E43B33" w:rsidRDefault="00E43B33" w:rsidP="00E43B33">
      <w:pPr>
        <w:spacing w:line="276" w:lineRule="auto"/>
        <w:ind w:right="55"/>
        <w:jc w:val="both"/>
        <w:rPr>
          <w:rFonts w:asciiTheme="majorHAnsi" w:hAnsiTheme="majorHAnsi"/>
          <w:sz w:val="24"/>
          <w:lang w:val="el-GR"/>
        </w:rPr>
      </w:pPr>
    </w:p>
    <w:p w:rsidR="00E43B33" w:rsidRPr="00E43B33" w:rsidRDefault="00E43B33" w:rsidP="00E43B33">
      <w:pPr>
        <w:spacing w:line="276" w:lineRule="auto"/>
        <w:ind w:right="55"/>
        <w:jc w:val="both"/>
        <w:rPr>
          <w:rFonts w:asciiTheme="majorHAnsi" w:hAnsiTheme="majorHAnsi"/>
          <w:b/>
          <w:sz w:val="24"/>
          <w:lang w:val="el-GR"/>
        </w:rPr>
      </w:pPr>
      <w:r w:rsidRPr="00E43B33">
        <w:rPr>
          <w:rFonts w:asciiTheme="majorHAnsi" w:hAnsiTheme="majorHAnsi"/>
          <w:b/>
          <w:sz w:val="24"/>
          <w:lang w:val="el-GR"/>
        </w:rPr>
        <w:t>Δ.</w:t>
      </w:r>
      <w:r w:rsidRPr="00E43B33">
        <w:rPr>
          <w:rFonts w:asciiTheme="majorHAnsi" w:hAnsiTheme="majorHAnsi"/>
          <w:b/>
          <w:sz w:val="24"/>
          <w:lang w:val="el-GR"/>
        </w:rPr>
        <w:tab/>
        <w:t>ΔΙΑΘΕΣΙΜΑ ΠΛΗΡΟΦΟΡΙΕΣ ΚΑΙ ΕΓΓΡΑΦΑ</w:t>
      </w:r>
    </w:p>
    <w:p w:rsidR="00E43B33" w:rsidRPr="00E43B33" w:rsidRDefault="00E43B33" w:rsidP="00E43B33">
      <w:pPr>
        <w:spacing w:line="276" w:lineRule="auto"/>
        <w:ind w:right="55"/>
        <w:jc w:val="both"/>
        <w:rPr>
          <w:rFonts w:asciiTheme="majorHAnsi" w:hAnsiTheme="majorHAnsi"/>
          <w:sz w:val="24"/>
          <w:lang w:val="el-GR"/>
        </w:rPr>
      </w:pPr>
      <w:r w:rsidRPr="00E43B33">
        <w:rPr>
          <w:rFonts w:asciiTheme="majorHAnsi" w:hAnsiTheme="majorHAnsi"/>
          <w:sz w:val="24"/>
          <w:lang w:val="el-GR"/>
        </w:rPr>
        <w:t xml:space="preserve">Οι πληροφορίες και τα έγγραφα που προβλέπονται στο άρθρο 27 παρ. 3 του Κ.Ν. 2190/1920, θα διατίθενται σε έγχαρτη μορφή στα γραφεία της έδρας της Εταιρείας (οδός Δάφνης 6, Παλαιό Ψυχικό) από το Τμήμα Εξυπηρέτησης μετόχων και σε ηλεκτρονική μορφή με ανάρτησή τους στην ιστοσελίδα της Εταιρείας : </w:t>
      </w:r>
      <w:hyperlink r:id="rId7" w:history="1">
        <w:r w:rsidRPr="00E43B33">
          <w:rPr>
            <w:rStyle w:val="-"/>
            <w:rFonts w:asciiTheme="majorHAnsi" w:hAnsiTheme="majorHAnsi"/>
            <w:sz w:val="24"/>
            <w:lang w:val="en-US"/>
          </w:rPr>
          <w:t>www</w:t>
        </w:r>
        <w:r w:rsidRPr="00E43B33">
          <w:rPr>
            <w:rStyle w:val="-"/>
            <w:rFonts w:asciiTheme="majorHAnsi" w:hAnsiTheme="majorHAnsi"/>
            <w:sz w:val="24"/>
            <w:lang w:val="el-GR"/>
          </w:rPr>
          <w:t>.</w:t>
        </w:r>
        <w:r w:rsidRPr="00E43B33">
          <w:rPr>
            <w:rStyle w:val="-"/>
            <w:rFonts w:asciiTheme="majorHAnsi" w:hAnsiTheme="majorHAnsi"/>
            <w:sz w:val="24"/>
            <w:lang w:val="en-US"/>
          </w:rPr>
          <w:t>kekrops</w:t>
        </w:r>
        <w:r w:rsidRPr="00E43B33">
          <w:rPr>
            <w:rStyle w:val="-"/>
            <w:rFonts w:asciiTheme="majorHAnsi" w:hAnsiTheme="majorHAnsi"/>
            <w:sz w:val="24"/>
            <w:lang w:val="el-GR"/>
          </w:rPr>
          <w:t>.</w:t>
        </w:r>
        <w:proofErr w:type="spellStart"/>
        <w:r w:rsidRPr="00E43B33">
          <w:rPr>
            <w:rStyle w:val="-"/>
            <w:rFonts w:asciiTheme="majorHAnsi" w:hAnsiTheme="majorHAnsi"/>
            <w:sz w:val="24"/>
            <w:lang w:val="en-US"/>
          </w:rPr>
          <w:t>gr</w:t>
        </w:r>
        <w:proofErr w:type="spellEnd"/>
      </w:hyperlink>
      <w:r w:rsidRPr="00E43B33">
        <w:rPr>
          <w:rFonts w:asciiTheme="majorHAnsi" w:hAnsiTheme="majorHAnsi"/>
          <w:sz w:val="24"/>
          <w:lang w:val="el-GR"/>
        </w:rPr>
        <w:t xml:space="preserve"> .</w:t>
      </w:r>
    </w:p>
    <w:p w:rsidR="00E43B33" w:rsidRPr="00E43B33" w:rsidRDefault="00E43B33" w:rsidP="00E43B33">
      <w:pPr>
        <w:spacing w:line="276" w:lineRule="auto"/>
        <w:ind w:right="55"/>
        <w:jc w:val="right"/>
        <w:rPr>
          <w:rFonts w:asciiTheme="majorHAnsi" w:hAnsiTheme="majorHAnsi"/>
          <w:sz w:val="24"/>
          <w:lang w:val="el-GR"/>
        </w:rPr>
      </w:pPr>
      <w:r w:rsidRPr="00E43B33">
        <w:rPr>
          <w:rFonts w:asciiTheme="majorHAnsi" w:hAnsiTheme="majorHAnsi"/>
          <w:sz w:val="24"/>
          <w:lang w:val="el-GR"/>
        </w:rPr>
        <w:t xml:space="preserve">Ψυχικό, 27  Μαΐου 2014 </w:t>
      </w:r>
    </w:p>
    <w:p w:rsidR="00E43B33" w:rsidRPr="00E43B33" w:rsidRDefault="00E43B33" w:rsidP="00E43B33">
      <w:pPr>
        <w:spacing w:line="276" w:lineRule="auto"/>
        <w:ind w:right="55"/>
        <w:jc w:val="right"/>
        <w:rPr>
          <w:rFonts w:asciiTheme="majorHAnsi" w:hAnsiTheme="majorHAnsi"/>
          <w:sz w:val="24"/>
          <w:lang w:val="el-GR"/>
        </w:rPr>
      </w:pPr>
      <w:r w:rsidRPr="00E43B33">
        <w:rPr>
          <w:rFonts w:asciiTheme="majorHAnsi" w:hAnsiTheme="majorHAnsi"/>
          <w:sz w:val="24"/>
          <w:lang w:val="el-GR"/>
        </w:rPr>
        <w:t>ΤΟ ΔΙΟΙΚΗΤΙΚΟ ΣΥΜΒΟΥΛΙΟ</w:t>
      </w:r>
    </w:p>
    <w:p w:rsidR="0044169F" w:rsidRPr="00E43B33" w:rsidRDefault="0044169F">
      <w:pPr>
        <w:rPr>
          <w:rFonts w:asciiTheme="majorHAnsi" w:hAnsiTheme="majorHAnsi"/>
        </w:rPr>
      </w:pPr>
    </w:p>
    <w:sectPr w:rsidR="0044169F" w:rsidRPr="00E43B33" w:rsidSect="004416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40EA"/>
    <w:multiLevelType w:val="hybridMultilevel"/>
    <w:tmpl w:val="45E48D7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6A5"/>
    <w:rsid w:val="00175EA3"/>
    <w:rsid w:val="00214433"/>
    <w:rsid w:val="003F16A5"/>
    <w:rsid w:val="0044169F"/>
    <w:rsid w:val="00BA5723"/>
    <w:rsid w:val="00D31585"/>
    <w:rsid w:val="00E43B33"/>
    <w:rsid w:val="00FC25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A5"/>
    <w:rPr>
      <w:lang w:val="en-AU"/>
    </w:rPr>
  </w:style>
  <w:style w:type="paragraph" w:styleId="1">
    <w:name w:val="heading 1"/>
    <w:basedOn w:val="a"/>
    <w:next w:val="a"/>
    <w:link w:val="1Char"/>
    <w:uiPriority w:val="9"/>
    <w:qFormat/>
    <w:rsid w:val="00175EA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5EA3"/>
    <w:rPr>
      <w:rFonts w:asciiTheme="majorHAnsi" w:eastAsiaTheme="majorEastAsia" w:hAnsiTheme="majorHAnsi" w:cstheme="majorBidi"/>
      <w:b/>
      <w:bCs/>
      <w:kern w:val="32"/>
      <w:sz w:val="32"/>
      <w:szCs w:val="32"/>
    </w:rPr>
  </w:style>
  <w:style w:type="paragraph" w:styleId="a3">
    <w:name w:val="Title"/>
    <w:basedOn w:val="a"/>
    <w:link w:val="Char"/>
    <w:qFormat/>
    <w:rsid w:val="00175EA3"/>
    <w:pPr>
      <w:spacing w:line="360" w:lineRule="auto"/>
      <w:jc w:val="center"/>
    </w:pPr>
    <w:rPr>
      <w:b/>
      <w:bCs/>
      <w:lang w:eastAsia="en-US"/>
    </w:rPr>
  </w:style>
  <w:style w:type="character" w:customStyle="1" w:styleId="Char">
    <w:name w:val="Τίτλος Char"/>
    <w:basedOn w:val="a0"/>
    <w:link w:val="a3"/>
    <w:rsid w:val="00175EA3"/>
    <w:rPr>
      <w:b/>
      <w:bCs/>
      <w:sz w:val="24"/>
      <w:szCs w:val="24"/>
      <w:lang w:eastAsia="en-US"/>
    </w:rPr>
  </w:style>
  <w:style w:type="paragraph" w:styleId="a4">
    <w:name w:val="No Spacing"/>
    <w:uiPriority w:val="1"/>
    <w:qFormat/>
    <w:rsid w:val="00175EA3"/>
    <w:rPr>
      <w:sz w:val="24"/>
      <w:szCs w:val="24"/>
    </w:rPr>
  </w:style>
  <w:style w:type="character" w:styleId="-">
    <w:name w:val="Hyperlink"/>
    <w:basedOn w:val="a0"/>
    <w:uiPriority w:val="99"/>
    <w:semiHidden/>
    <w:rsid w:val="003F16A5"/>
    <w:rPr>
      <w:rFonts w:ascii="Verdana" w:hAnsi="Verdana" w:cs="Times New Roman"/>
      <w:color w:val="0000C0"/>
      <w:u w:val="none"/>
      <w:effect w:val="none"/>
    </w:rPr>
  </w:style>
  <w:style w:type="paragraph" w:styleId="a5">
    <w:name w:val="List Paragraph"/>
    <w:basedOn w:val="a"/>
    <w:uiPriority w:val="99"/>
    <w:qFormat/>
    <w:rsid w:val="003F16A5"/>
    <w:pPr>
      <w:tabs>
        <w:tab w:val="left" w:pos="1134"/>
      </w:tabs>
      <w:spacing w:line="280" w:lineRule="atLeast"/>
      <w:ind w:left="720"/>
      <w:contextualSpacing/>
    </w:pPr>
    <w:rPr>
      <w:sz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krop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krops.gr" TargetMode="External"/><Relationship Id="rId5" Type="http://schemas.openxmlformats.org/officeDocument/2006/relationships/hyperlink" Target="http://www.kekrop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7931</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TURBO-X</dc:creator>
  <cp:keywords/>
  <dc:description/>
  <cp:lastModifiedBy>computer</cp:lastModifiedBy>
  <cp:revision>2</cp:revision>
  <dcterms:created xsi:type="dcterms:W3CDTF">2014-05-27T14:19:00Z</dcterms:created>
  <dcterms:modified xsi:type="dcterms:W3CDTF">2014-05-27T14:19:00Z</dcterms:modified>
</cp:coreProperties>
</file>