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DF" w:rsidRPr="0044377B" w:rsidRDefault="000B22DF" w:rsidP="00037F95">
      <w:pPr>
        <w:pStyle w:val="Heading2"/>
        <w:spacing w:line="360" w:lineRule="auto"/>
        <w:jc w:val="center"/>
        <w:rPr>
          <w:rFonts w:ascii="Arial" w:hAnsi="Arial" w:cs="Arial"/>
          <w:b/>
          <w:bCs/>
          <w:sz w:val="22"/>
          <w:szCs w:val="22"/>
          <w:lang w:val="en-GB"/>
        </w:rPr>
      </w:pPr>
      <w:bookmarkStart w:id="0" w:name="_GoBack"/>
      <w:bookmarkEnd w:id="0"/>
      <w:r w:rsidRPr="0044377B">
        <w:rPr>
          <w:rFonts w:ascii="Arial" w:hAnsi="Arial" w:cs="Arial"/>
          <w:b/>
          <w:bCs/>
          <w:sz w:val="22"/>
          <w:szCs w:val="22"/>
          <w:lang w:val="en-GB"/>
        </w:rPr>
        <w:t>PRESS RELEASE</w:t>
      </w:r>
    </w:p>
    <w:p w:rsidR="000B22DF" w:rsidRPr="0044377B" w:rsidRDefault="000B22DF" w:rsidP="00010678">
      <w:pPr>
        <w:pStyle w:val="Heading2"/>
        <w:spacing w:after="120" w:line="360" w:lineRule="auto"/>
        <w:rPr>
          <w:rFonts w:ascii="Arial" w:hAnsi="Arial" w:cs="Arial"/>
          <w:sz w:val="20"/>
          <w:lang w:val="en-GB"/>
        </w:rPr>
      </w:pPr>
      <w:r>
        <w:rPr>
          <w:rFonts w:ascii="Arial" w:hAnsi="Arial" w:cs="Arial"/>
          <w:sz w:val="20"/>
          <w:lang w:val="en-GB"/>
        </w:rPr>
        <w:t>26 February</w:t>
      </w:r>
      <w:r w:rsidRPr="0044377B">
        <w:rPr>
          <w:rFonts w:ascii="Arial" w:hAnsi="Arial" w:cs="Arial"/>
          <w:sz w:val="20"/>
          <w:lang w:val="en-GB"/>
        </w:rPr>
        <w:t>, 201</w:t>
      </w:r>
      <w:r>
        <w:rPr>
          <w:rFonts w:ascii="Arial" w:hAnsi="Arial" w:cs="Arial"/>
          <w:sz w:val="20"/>
          <w:lang w:val="en-GB"/>
        </w:rPr>
        <w:t>5</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287"/>
      </w:tblGrid>
      <w:tr w:rsidR="000B22DF" w:rsidRPr="00D935B5" w:rsidTr="00D935B5">
        <w:tc>
          <w:tcPr>
            <w:tcW w:w="9287" w:type="dxa"/>
            <w:shd w:val="pct12" w:color="auto" w:fill="auto"/>
          </w:tcPr>
          <w:p w:rsidR="000B22DF" w:rsidRPr="00D935B5" w:rsidRDefault="000B22DF" w:rsidP="00396C62">
            <w:pPr>
              <w:pStyle w:val="Heading3"/>
              <w:spacing w:before="120" w:after="100" w:line="240" w:lineRule="auto"/>
              <w:jc w:val="center"/>
              <w:rPr>
                <w:rFonts w:ascii="Arial" w:hAnsi="Arial"/>
                <w:sz w:val="22"/>
                <w:szCs w:val="22"/>
                <w:lang w:val="en-GB"/>
              </w:rPr>
            </w:pPr>
            <w:r>
              <w:rPr>
                <w:rFonts w:ascii="Arial" w:hAnsi="Arial"/>
                <w:sz w:val="22"/>
                <w:szCs w:val="22"/>
                <w:lang w:val="en-GB"/>
              </w:rPr>
              <w:t xml:space="preserve">Fourth </w:t>
            </w:r>
            <w:r w:rsidRPr="00037F95">
              <w:rPr>
                <w:rFonts w:ascii="Arial" w:hAnsi="Arial"/>
                <w:sz w:val="22"/>
                <w:szCs w:val="22"/>
                <w:lang w:val="en-GB"/>
              </w:rPr>
              <w:t xml:space="preserve">quarter </w:t>
            </w:r>
            <w:r w:rsidRPr="00C74CE6">
              <w:rPr>
                <w:rFonts w:ascii="Arial" w:hAnsi="Arial"/>
                <w:sz w:val="22"/>
                <w:szCs w:val="22"/>
                <w:lang w:val="en-GB"/>
              </w:rPr>
              <w:t>201</w:t>
            </w:r>
            <w:r>
              <w:rPr>
                <w:rFonts w:ascii="Arial" w:hAnsi="Arial"/>
                <w:sz w:val="22"/>
                <w:szCs w:val="22"/>
                <w:lang w:val="en-GB"/>
              </w:rPr>
              <w:t>4</w:t>
            </w:r>
            <w:r w:rsidRPr="00C74CE6">
              <w:rPr>
                <w:rFonts w:ascii="Arial" w:hAnsi="Arial"/>
                <w:sz w:val="22"/>
                <w:szCs w:val="22"/>
                <w:lang w:val="en-GB"/>
              </w:rPr>
              <w:t xml:space="preserve"> financial results</w:t>
            </w:r>
          </w:p>
        </w:tc>
      </w:tr>
    </w:tbl>
    <w:p w:rsidR="000B22DF" w:rsidRPr="0044377B" w:rsidRDefault="000B22DF" w:rsidP="00BE5915">
      <w:pPr>
        <w:spacing w:line="240" w:lineRule="auto"/>
        <w:jc w:val="center"/>
        <w:rPr>
          <w:rFonts w:ascii="Arial" w:hAnsi="Arial" w:cs="Arial"/>
          <w:b/>
          <w:bCs/>
          <w:iCs/>
          <w:lang w:val="en-GB"/>
        </w:rPr>
      </w:pPr>
    </w:p>
    <w:p w:rsidR="000B22DF" w:rsidRDefault="000B22DF" w:rsidP="00A20384">
      <w:pPr>
        <w:spacing w:line="360" w:lineRule="auto"/>
        <w:jc w:val="center"/>
        <w:rPr>
          <w:rFonts w:ascii="Arial" w:hAnsi="Arial" w:cs="Arial"/>
          <w:b/>
          <w:i/>
          <w:sz w:val="22"/>
          <w:szCs w:val="22"/>
          <w:u w:val="single"/>
          <w:lang w:val="en-GB"/>
        </w:rPr>
      </w:pPr>
    </w:p>
    <w:p w:rsidR="000B22DF" w:rsidRDefault="000B22DF" w:rsidP="00A20384">
      <w:pPr>
        <w:spacing w:line="360" w:lineRule="auto"/>
        <w:jc w:val="center"/>
        <w:rPr>
          <w:rFonts w:ascii="Arial" w:hAnsi="Arial" w:cs="Arial"/>
          <w:b/>
          <w:i/>
          <w:sz w:val="22"/>
          <w:szCs w:val="22"/>
          <w:u w:val="single"/>
          <w:lang w:val="en-GB"/>
        </w:rPr>
      </w:pPr>
      <w:r>
        <w:rPr>
          <w:rFonts w:ascii="Arial" w:hAnsi="Arial" w:cs="Arial"/>
          <w:b/>
          <w:i/>
          <w:sz w:val="22"/>
          <w:szCs w:val="22"/>
          <w:u w:val="single"/>
          <w:lang w:val="en-GB"/>
        </w:rPr>
        <w:t xml:space="preserve">Record high production and exports, as well as the positive refining environment drive strong Group results; </w:t>
      </w:r>
    </w:p>
    <w:p w:rsidR="000B22DF" w:rsidRDefault="000B22DF" w:rsidP="00A20384">
      <w:pPr>
        <w:spacing w:line="360" w:lineRule="auto"/>
        <w:jc w:val="center"/>
        <w:rPr>
          <w:rFonts w:ascii="Arial" w:hAnsi="Arial" w:cs="Arial"/>
          <w:b/>
          <w:i/>
          <w:sz w:val="22"/>
          <w:szCs w:val="22"/>
          <w:u w:val="single"/>
          <w:lang w:val="en-GB"/>
        </w:rPr>
      </w:pPr>
      <w:r>
        <w:rPr>
          <w:rFonts w:ascii="Arial" w:hAnsi="Arial" w:cs="Arial"/>
          <w:b/>
          <w:i/>
          <w:sz w:val="22"/>
          <w:szCs w:val="22"/>
          <w:u w:val="single"/>
          <w:lang w:val="en-GB"/>
        </w:rPr>
        <w:t>Significant negative impact on reported</w:t>
      </w:r>
      <w:r w:rsidRPr="00A20384">
        <w:rPr>
          <w:rFonts w:ascii="Arial" w:hAnsi="Arial" w:cs="Arial"/>
          <w:b/>
          <w:i/>
          <w:sz w:val="22"/>
          <w:szCs w:val="22"/>
          <w:u w:val="single"/>
          <w:lang w:val="en-GB"/>
        </w:rPr>
        <w:t xml:space="preserve"> results</w:t>
      </w:r>
      <w:r>
        <w:rPr>
          <w:rFonts w:ascii="Arial" w:hAnsi="Arial" w:cs="Arial"/>
          <w:b/>
          <w:i/>
          <w:sz w:val="22"/>
          <w:szCs w:val="22"/>
          <w:u w:val="single"/>
          <w:lang w:val="en-GB"/>
        </w:rPr>
        <w:t xml:space="preserve"> from crude oil</w:t>
      </w:r>
      <w:r w:rsidRPr="00A20384">
        <w:rPr>
          <w:rFonts w:ascii="Arial" w:hAnsi="Arial" w:cs="Arial"/>
          <w:b/>
          <w:i/>
          <w:sz w:val="22"/>
          <w:szCs w:val="22"/>
          <w:u w:val="single"/>
          <w:lang w:val="en-GB"/>
        </w:rPr>
        <w:t xml:space="preserve"> price </w:t>
      </w:r>
      <w:r>
        <w:rPr>
          <w:rFonts w:ascii="Arial" w:hAnsi="Arial" w:cs="Arial"/>
          <w:b/>
          <w:i/>
          <w:sz w:val="22"/>
          <w:szCs w:val="22"/>
          <w:u w:val="single"/>
          <w:lang w:val="en-GB"/>
        </w:rPr>
        <w:t>decline</w:t>
      </w:r>
    </w:p>
    <w:p w:rsidR="000B22DF" w:rsidRPr="000748D9" w:rsidRDefault="000B22DF" w:rsidP="007371A0">
      <w:pPr>
        <w:pStyle w:val="BlockText"/>
        <w:snapToGrid w:val="0"/>
        <w:spacing w:after="120" w:line="240" w:lineRule="auto"/>
        <w:ind w:left="0" w:right="0" w:firstLine="0"/>
        <w:rPr>
          <w:rFonts w:cs="Arial"/>
          <w:sz w:val="2"/>
          <w:lang w:val="en-GB"/>
        </w:rPr>
      </w:pPr>
    </w:p>
    <w:p w:rsidR="000B22DF" w:rsidRDefault="000B22DF" w:rsidP="00AF4D06">
      <w:pPr>
        <w:pStyle w:val="BlockText"/>
        <w:snapToGrid w:val="0"/>
        <w:spacing w:after="120" w:line="360" w:lineRule="auto"/>
        <w:ind w:left="0" w:right="0" w:firstLine="0"/>
        <w:rPr>
          <w:sz w:val="20"/>
          <w:lang w:val="en-US"/>
        </w:rPr>
      </w:pPr>
    </w:p>
    <w:p w:rsidR="000B22DF" w:rsidRDefault="000B22DF" w:rsidP="00AF4D06">
      <w:pPr>
        <w:pStyle w:val="BlockText"/>
        <w:snapToGrid w:val="0"/>
        <w:spacing w:after="120" w:line="360" w:lineRule="auto"/>
        <w:ind w:left="0" w:right="0" w:firstLine="0"/>
        <w:rPr>
          <w:sz w:val="20"/>
          <w:lang w:val="en-US"/>
        </w:rPr>
      </w:pPr>
      <w:r>
        <w:rPr>
          <w:sz w:val="20"/>
          <w:lang w:val="en-US"/>
        </w:rPr>
        <w:t>HELLENIC PETROLEUM Group reported its strongest4Q performance, leading to a FY Adjusted</w:t>
      </w:r>
      <w:r w:rsidRPr="008F02C8">
        <w:rPr>
          <w:sz w:val="20"/>
          <w:lang w:val="en-US"/>
        </w:rPr>
        <w:t xml:space="preserve"> EBITDA</w:t>
      </w:r>
      <w:r>
        <w:rPr>
          <w:sz w:val="20"/>
          <w:lang w:val="en-US"/>
        </w:rPr>
        <w:t xml:space="preserve"> of €417m (2013: €178m) and recording a positive Net Income. Performance was improved in all business units, some of which reported record high contribution. In refining, results were driven by the favorable </w:t>
      </w:r>
      <w:r>
        <w:rPr>
          <w:sz w:val="20"/>
          <w:lang w:val="en-GB"/>
        </w:rPr>
        <w:t xml:space="preserve">international refining environment during the second half of the year, as well as improved refining operations, following the de-bottlenecking works at Elefsina earlier in the year. Further support came from continuous cost control efforts </w:t>
      </w:r>
      <w:r w:rsidRPr="00D67DD5">
        <w:rPr>
          <w:sz w:val="20"/>
          <w:lang w:val="en-US"/>
        </w:rPr>
        <w:t xml:space="preserve">and </w:t>
      </w:r>
      <w:r>
        <w:rPr>
          <w:sz w:val="20"/>
          <w:lang w:val="en-US"/>
        </w:rPr>
        <w:t xml:space="preserve">growth in </w:t>
      </w:r>
      <w:r w:rsidRPr="00D67DD5">
        <w:rPr>
          <w:sz w:val="20"/>
          <w:lang w:val="en-US"/>
        </w:rPr>
        <w:t>export</w:t>
      </w:r>
      <w:r>
        <w:rPr>
          <w:sz w:val="20"/>
          <w:lang w:val="en-US"/>
        </w:rPr>
        <w:t>s, accounting for c. 50% of total sales.</w:t>
      </w:r>
    </w:p>
    <w:p w:rsidR="000B22DF" w:rsidRPr="00AE13FF" w:rsidRDefault="000B22DF" w:rsidP="00AF4D06">
      <w:pPr>
        <w:pStyle w:val="BlockText"/>
        <w:snapToGrid w:val="0"/>
        <w:spacing w:after="120" w:line="360" w:lineRule="auto"/>
        <w:ind w:left="0" w:right="0" w:firstLine="0"/>
        <w:rPr>
          <w:sz w:val="20"/>
          <w:lang w:val="en-GB"/>
        </w:rPr>
      </w:pPr>
      <w:r>
        <w:rPr>
          <w:sz w:val="20"/>
          <w:lang w:val="en-US"/>
        </w:rPr>
        <w:t>Contribution of Marketing activities was also higher: EKO and HF profitability came in at 4-year high, as a result of the transformation initiatives implemented over the last two years. The</w:t>
      </w:r>
      <w:r>
        <w:rPr>
          <w:sz w:val="20"/>
          <w:lang w:val="en-GB"/>
        </w:rPr>
        <w:t xml:space="preserve"> Group’s international subsidiaries reported their highest contribution ever, despite challenging local market conditions. Finally, Petrochemicals also </w:t>
      </w:r>
      <w:r>
        <w:rPr>
          <w:sz w:val="20"/>
          <w:lang w:val="en-US"/>
        </w:rPr>
        <w:t>improved performance, with record high profitability.</w:t>
      </w:r>
    </w:p>
    <w:p w:rsidR="000B22DF" w:rsidRDefault="000B22DF" w:rsidP="00AE13FF">
      <w:pPr>
        <w:pStyle w:val="BlockText"/>
        <w:snapToGrid w:val="0"/>
        <w:spacing w:after="120" w:line="360" w:lineRule="auto"/>
        <w:ind w:left="0" w:right="0" w:firstLine="0"/>
        <w:rPr>
          <w:sz w:val="20"/>
          <w:lang w:val="en-US"/>
        </w:rPr>
      </w:pPr>
      <w:r>
        <w:rPr>
          <w:sz w:val="20"/>
          <w:lang w:val="en-US"/>
        </w:rPr>
        <w:t>Reported results were severely affected by the sharp decline of crude oil prices, impacting year-end valuation of inventory. As Hellenic Petroleum maintains a high inventory level as part of its Compulsory Stock Obligations, the total loss from the price drop in 2014 was</w:t>
      </w:r>
      <w:r w:rsidRPr="005D6669">
        <w:rPr>
          <w:sz w:val="20"/>
          <w:lang w:val="en-US"/>
        </w:rPr>
        <w:t>€48</w:t>
      </w:r>
      <w:r>
        <w:rPr>
          <w:sz w:val="20"/>
          <w:lang w:val="en-US"/>
        </w:rPr>
        <w:t>4m,turning positive operating results for the year to a Net loss of-</w:t>
      </w:r>
      <w:r w:rsidRPr="005D6669">
        <w:rPr>
          <w:sz w:val="20"/>
          <w:lang w:val="en-US"/>
        </w:rPr>
        <w:t>€</w:t>
      </w:r>
      <w:r>
        <w:rPr>
          <w:sz w:val="20"/>
          <w:lang w:val="en-US"/>
        </w:rPr>
        <w:t>365m.</w:t>
      </w:r>
    </w:p>
    <w:p w:rsidR="000B22DF" w:rsidRDefault="000B22DF" w:rsidP="00AE13FF">
      <w:pPr>
        <w:pStyle w:val="BlockText"/>
        <w:snapToGrid w:val="0"/>
        <w:spacing w:after="120" w:line="360" w:lineRule="auto"/>
        <w:ind w:left="0" w:right="0" w:firstLine="0"/>
        <w:rPr>
          <w:sz w:val="20"/>
          <w:lang w:val="en-US"/>
        </w:rPr>
      </w:pPr>
      <w:r>
        <w:rPr>
          <w:sz w:val="20"/>
          <w:lang w:val="en-GB"/>
        </w:rPr>
        <w:t xml:space="preserve">Group cash flow was also positive, as, during the last quarters, increased profitability, combined with normalised capex levels, led to reduced leverage. </w:t>
      </w:r>
      <w:r>
        <w:rPr>
          <w:sz w:val="20"/>
          <w:lang w:val="en-US"/>
        </w:rPr>
        <w:t>In terms of funding, despite the continued challenges, the Group’s position improved following the Eurobond issues and the renegotiation of existing credit facilities. Strategic targets on both tenure (maturity profile) and diversification (DCM vs Banks) have been achieved and interest cost</w:t>
      </w:r>
      <w:r>
        <w:rPr>
          <w:sz w:val="20"/>
          <w:lang w:val="en-GB"/>
        </w:rPr>
        <w:t>s</w:t>
      </w:r>
      <w:r>
        <w:rPr>
          <w:sz w:val="20"/>
          <w:lang w:val="en-US"/>
        </w:rPr>
        <w:t>are gradually being reduced. Given continuing market volatility</w:t>
      </w:r>
      <w:r w:rsidRPr="005D6669">
        <w:rPr>
          <w:sz w:val="20"/>
          <w:lang w:val="en-US"/>
        </w:rPr>
        <w:t>,</w:t>
      </w:r>
      <w:r>
        <w:rPr>
          <w:sz w:val="20"/>
          <w:lang w:val="en-US"/>
        </w:rPr>
        <w:t xml:space="preserve"> the management of liquidity risk and security of supply for our core markets remain key priorit</w:t>
      </w:r>
      <w:r w:rsidRPr="005D6669">
        <w:rPr>
          <w:sz w:val="20"/>
          <w:lang w:val="en-US"/>
        </w:rPr>
        <w:t>ies</w:t>
      </w:r>
      <w:r>
        <w:rPr>
          <w:sz w:val="20"/>
          <w:lang w:val="en-US"/>
        </w:rPr>
        <w:t xml:space="preserve"> and these are being addressed by holding a relatively high average cash balance, with a commensurate negative impact on interest costs.</w:t>
      </w:r>
    </w:p>
    <w:p w:rsidR="000B22DF" w:rsidRPr="006C01FC" w:rsidRDefault="000B22DF" w:rsidP="00AE13FF">
      <w:pPr>
        <w:pStyle w:val="BlockText"/>
        <w:snapToGrid w:val="0"/>
        <w:spacing w:after="120" w:line="360" w:lineRule="auto"/>
        <w:ind w:left="0" w:right="0" w:firstLine="0"/>
        <w:rPr>
          <w:sz w:val="20"/>
          <w:lang w:val="en-US"/>
        </w:rPr>
      </w:pPr>
      <w:r>
        <w:rPr>
          <w:sz w:val="20"/>
          <w:lang w:val="en-US"/>
        </w:rPr>
        <w:t>Capital expenditure</w:t>
      </w:r>
      <w:r w:rsidRPr="0023117E">
        <w:rPr>
          <w:sz w:val="20"/>
          <w:lang w:val="en-US"/>
        </w:rPr>
        <w:t>,</w:t>
      </w:r>
      <w:r>
        <w:rPr>
          <w:sz w:val="20"/>
          <w:lang w:val="en-US"/>
        </w:rPr>
        <w:t xml:space="preserve"> at </w:t>
      </w:r>
      <w:r w:rsidRPr="005D6669">
        <w:rPr>
          <w:sz w:val="20"/>
          <w:lang w:val="en-US"/>
        </w:rPr>
        <w:t>€</w:t>
      </w:r>
      <w:r>
        <w:rPr>
          <w:sz w:val="20"/>
          <w:lang w:val="en-US"/>
        </w:rPr>
        <w:t>136m</w:t>
      </w:r>
      <w:r w:rsidRPr="005D6669">
        <w:rPr>
          <w:sz w:val="20"/>
          <w:lang w:val="en-US"/>
        </w:rPr>
        <w:t>,</w:t>
      </w:r>
      <w:r>
        <w:rPr>
          <w:sz w:val="20"/>
          <w:lang w:val="en-US"/>
        </w:rPr>
        <w:t xml:space="preserve"> mainly relates to stay-in-business projects, the turn-around of Elefsina and smaller growth projects.</w:t>
      </w:r>
    </w:p>
    <w:p w:rsidR="000B22DF" w:rsidRDefault="000B22DF" w:rsidP="00AE13FF">
      <w:pPr>
        <w:pStyle w:val="BlockText"/>
        <w:snapToGrid w:val="0"/>
        <w:spacing w:after="120" w:line="360" w:lineRule="auto"/>
        <w:ind w:left="0" w:right="0" w:firstLine="0"/>
        <w:rPr>
          <w:sz w:val="20"/>
          <w:lang w:val="en-US"/>
        </w:rPr>
      </w:pPr>
    </w:p>
    <w:p w:rsidR="000B22DF" w:rsidRDefault="000B22DF" w:rsidP="00AE13FF">
      <w:pPr>
        <w:pStyle w:val="BlockText"/>
        <w:snapToGrid w:val="0"/>
        <w:spacing w:after="120" w:line="360" w:lineRule="auto"/>
        <w:ind w:left="0" w:right="0" w:firstLine="0"/>
        <w:rPr>
          <w:sz w:val="20"/>
          <w:lang w:val="en-US"/>
        </w:rPr>
      </w:pPr>
    </w:p>
    <w:p w:rsidR="000B22DF" w:rsidRPr="00842415" w:rsidRDefault="000B22DF" w:rsidP="00842415">
      <w:pPr>
        <w:pStyle w:val="BlockText"/>
        <w:snapToGrid w:val="0"/>
        <w:spacing w:after="120" w:line="240" w:lineRule="auto"/>
        <w:ind w:left="0" w:right="0" w:firstLine="0"/>
        <w:rPr>
          <w:sz w:val="20"/>
          <w:lang w:val="en-GB"/>
        </w:rPr>
      </w:pPr>
      <w:r w:rsidRPr="0044377B">
        <w:rPr>
          <w:rFonts w:cs="Arial"/>
          <w:sz w:val="20"/>
          <w:lang w:val="en-GB"/>
        </w:rPr>
        <w:t xml:space="preserve">Key figures for </w:t>
      </w:r>
      <w:r>
        <w:rPr>
          <w:rFonts w:cs="Arial"/>
          <w:sz w:val="20"/>
          <w:lang w:val="en-GB"/>
        </w:rPr>
        <w:t xml:space="preserve">4Q and FY 2014 </w:t>
      </w:r>
      <w:r w:rsidRPr="0044377B">
        <w:rPr>
          <w:rFonts w:cs="Arial"/>
          <w:sz w:val="20"/>
          <w:lang w:val="en-GB"/>
        </w:rPr>
        <w:t>are</w:t>
      </w:r>
      <w:r>
        <w:rPr>
          <w:rFonts w:cs="Arial"/>
          <w:sz w:val="20"/>
          <w:lang w:val="en-GB"/>
        </w:rPr>
        <w:t xml:space="preserve"> summarised below</w:t>
      </w:r>
      <w:r w:rsidRPr="0044377B">
        <w:rPr>
          <w:rFonts w:cs="Arial"/>
          <w:sz w:val="20"/>
          <w:lang w:val="en-GB"/>
        </w:rPr>
        <w:t>:</w:t>
      </w:r>
    </w:p>
    <w:tbl>
      <w:tblPr>
        <w:tblpPr w:leftFromText="180" w:rightFromText="180"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7"/>
        <w:gridCol w:w="1276"/>
        <w:gridCol w:w="4158"/>
        <w:gridCol w:w="1162"/>
        <w:gridCol w:w="1176"/>
      </w:tblGrid>
      <w:tr w:rsidR="000B22DF" w:rsidRPr="00600F6E" w:rsidTr="009A5F0A">
        <w:trPr>
          <w:trHeight w:val="465"/>
        </w:trPr>
        <w:tc>
          <w:tcPr>
            <w:tcW w:w="1217" w:type="dxa"/>
            <w:vAlign w:val="center"/>
          </w:tcPr>
          <w:p w:rsidR="000B22DF" w:rsidRPr="00AE13FF" w:rsidRDefault="000B22DF" w:rsidP="00AE13FF">
            <w:pPr>
              <w:widowControl/>
              <w:adjustRightInd/>
              <w:spacing w:before="60" w:line="360" w:lineRule="auto"/>
              <w:jc w:val="right"/>
              <w:textAlignment w:val="auto"/>
              <w:rPr>
                <w:rFonts w:ascii="Arial" w:hAnsi="Arial" w:cs="Arial"/>
                <w:b/>
                <w:bCs/>
                <w:iCs/>
                <w:lang w:val="el-GR"/>
              </w:rPr>
            </w:pPr>
            <w:r w:rsidRPr="00AE13FF">
              <w:rPr>
                <w:rFonts w:ascii="Arial" w:hAnsi="Arial" w:cs="Arial"/>
                <w:b/>
                <w:bCs/>
                <w:iCs/>
                <w:lang w:val="el-GR"/>
              </w:rPr>
              <w:t>4Q13</w:t>
            </w:r>
          </w:p>
        </w:tc>
        <w:tc>
          <w:tcPr>
            <w:tcW w:w="1276" w:type="dxa"/>
            <w:vAlign w:val="center"/>
          </w:tcPr>
          <w:p w:rsidR="000B22DF" w:rsidRPr="00AE13FF" w:rsidRDefault="000B22DF" w:rsidP="00AE13FF">
            <w:pPr>
              <w:widowControl/>
              <w:adjustRightInd/>
              <w:spacing w:before="60" w:line="360" w:lineRule="auto"/>
              <w:jc w:val="right"/>
              <w:textAlignment w:val="auto"/>
              <w:rPr>
                <w:rFonts w:ascii="Arial" w:hAnsi="Arial" w:cs="Arial"/>
                <w:b/>
                <w:bCs/>
                <w:iCs/>
                <w:lang w:val="el-GR"/>
              </w:rPr>
            </w:pPr>
            <w:r w:rsidRPr="00AE13FF">
              <w:rPr>
                <w:rFonts w:ascii="Arial" w:hAnsi="Arial" w:cs="Arial"/>
                <w:b/>
                <w:bCs/>
                <w:iCs/>
                <w:lang w:val="el-GR"/>
              </w:rPr>
              <w:t>4Q14</w:t>
            </w:r>
          </w:p>
        </w:tc>
        <w:tc>
          <w:tcPr>
            <w:tcW w:w="4158" w:type="dxa"/>
            <w:vAlign w:val="center"/>
          </w:tcPr>
          <w:p w:rsidR="000B22DF" w:rsidRPr="007026A8" w:rsidRDefault="000B22DF" w:rsidP="0019580A">
            <w:pPr>
              <w:pStyle w:val="BlockText"/>
              <w:snapToGrid w:val="0"/>
              <w:spacing w:after="120" w:line="360" w:lineRule="auto"/>
              <w:ind w:left="0" w:right="0" w:firstLine="0"/>
              <w:jc w:val="left"/>
              <w:rPr>
                <w:rFonts w:cs="Arial"/>
                <w:i/>
                <w:sz w:val="20"/>
                <w:lang w:val="en-GB"/>
              </w:rPr>
            </w:pPr>
            <w:r w:rsidRPr="007026A8">
              <w:rPr>
                <w:rFonts w:cs="Arial"/>
                <w:i/>
                <w:sz w:val="16"/>
                <w:lang w:val="en-GB"/>
              </w:rPr>
              <w:t>All numbers in €m</w:t>
            </w:r>
          </w:p>
        </w:tc>
        <w:tc>
          <w:tcPr>
            <w:tcW w:w="1162" w:type="dxa"/>
            <w:vAlign w:val="center"/>
          </w:tcPr>
          <w:p w:rsidR="000B22DF" w:rsidRPr="00AE13FF" w:rsidRDefault="000B22DF" w:rsidP="00AE13FF">
            <w:pPr>
              <w:widowControl/>
              <w:adjustRightInd/>
              <w:spacing w:before="60" w:line="360" w:lineRule="auto"/>
              <w:jc w:val="right"/>
              <w:textAlignment w:val="auto"/>
              <w:rPr>
                <w:rFonts w:ascii="Arial" w:hAnsi="Arial" w:cs="Arial"/>
                <w:b/>
                <w:bCs/>
                <w:iCs/>
                <w:lang w:val="el-GR"/>
              </w:rPr>
            </w:pPr>
            <w:r w:rsidRPr="00AE13FF">
              <w:rPr>
                <w:rFonts w:ascii="Arial" w:hAnsi="Arial" w:cs="Arial"/>
                <w:b/>
                <w:bCs/>
                <w:iCs/>
                <w:lang w:val="el-GR"/>
              </w:rPr>
              <w:t>2013</w:t>
            </w:r>
          </w:p>
        </w:tc>
        <w:tc>
          <w:tcPr>
            <w:tcW w:w="1176" w:type="dxa"/>
            <w:vAlign w:val="center"/>
          </w:tcPr>
          <w:p w:rsidR="000B22DF" w:rsidRPr="00AE13FF" w:rsidRDefault="000B22DF" w:rsidP="00AE13FF">
            <w:pPr>
              <w:widowControl/>
              <w:adjustRightInd/>
              <w:spacing w:before="60" w:line="360" w:lineRule="auto"/>
              <w:jc w:val="right"/>
              <w:textAlignment w:val="auto"/>
              <w:rPr>
                <w:rFonts w:ascii="Arial" w:hAnsi="Arial" w:cs="Arial"/>
                <w:b/>
                <w:bCs/>
                <w:iCs/>
                <w:lang w:val="el-GR"/>
              </w:rPr>
            </w:pPr>
            <w:r w:rsidRPr="00AE13FF">
              <w:rPr>
                <w:rFonts w:ascii="Arial" w:hAnsi="Arial" w:cs="Arial"/>
                <w:b/>
                <w:bCs/>
                <w:iCs/>
                <w:lang w:val="el-GR"/>
              </w:rPr>
              <w:t>2014</w:t>
            </w:r>
          </w:p>
        </w:tc>
      </w:tr>
      <w:tr w:rsidR="000B22DF" w:rsidRPr="00600F6E" w:rsidTr="009A5F0A">
        <w:trPr>
          <w:trHeight w:val="465"/>
        </w:trPr>
        <w:tc>
          <w:tcPr>
            <w:tcW w:w="1217" w:type="dxa"/>
            <w:shd w:val="clear" w:color="auto" w:fill="D9D9D9"/>
            <w:vAlign w:val="center"/>
          </w:tcPr>
          <w:p w:rsidR="000B22DF" w:rsidRPr="00AE13FF" w:rsidRDefault="000B22DF" w:rsidP="000748D9">
            <w:pPr>
              <w:widowControl/>
              <w:adjustRightInd/>
              <w:spacing w:before="60" w:line="240" w:lineRule="auto"/>
              <w:jc w:val="right"/>
              <w:textAlignment w:val="auto"/>
              <w:rPr>
                <w:rFonts w:ascii="Arial" w:hAnsi="Arial" w:cs="Arial"/>
                <w:bCs/>
                <w:iCs/>
                <w:lang w:val="el-GR"/>
              </w:rPr>
            </w:pPr>
            <w:r w:rsidRPr="00AE13FF">
              <w:rPr>
                <w:rFonts w:ascii="Arial" w:hAnsi="Arial" w:cs="Arial"/>
                <w:bCs/>
                <w:iCs/>
                <w:lang w:val="el-GR"/>
              </w:rPr>
              <w:t>2,915</w:t>
            </w:r>
          </w:p>
        </w:tc>
        <w:tc>
          <w:tcPr>
            <w:tcW w:w="1276" w:type="dxa"/>
            <w:shd w:val="clear" w:color="auto" w:fill="D9D9D9"/>
            <w:vAlign w:val="center"/>
          </w:tcPr>
          <w:p w:rsidR="000B22DF" w:rsidRPr="00AE13FF" w:rsidRDefault="000B22DF" w:rsidP="000748D9">
            <w:pPr>
              <w:widowControl/>
              <w:adjustRightInd/>
              <w:spacing w:before="60" w:line="240" w:lineRule="auto"/>
              <w:jc w:val="right"/>
              <w:textAlignment w:val="auto"/>
              <w:rPr>
                <w:rFonts w:ascii="Arial" w:hAnsi="Arial" w:cs="Arial"/>
                <w:bCs/>
                <w:iCs/>
                <w:lang w:val="el-GR"/>
              </w:rPr>
            </w:pPr>
            <w:r w:rsidRPr="00AE13FF">
              <w:rPr>
                <w:rFonts w:ascii="Arial" w:hAnsi="Arial" w:cs="Arial"/>
                <w:bCs/>
                <w:iCs/>
                <w:lang w:val="el-GR"/>
              </w:rPr>
              <w:t>3,981</w:t>
            </w:r>
          </w:p>
        </w:tc>
        <w:tc>
          <w:tcPr>
            <w:tcW w:w="4158" w:type="dxa"/>
            <w:shd w:val="clear" w:color="auto" w:fill="D9D9D9"/>
            <w:vAlign w:val="center"/>
          </w:tcPr>
          <w:p w:rsidR="000B22DF" w:rsidRPr="00AE13FF" w:rsidRDefault="000B22DF" w:rsidP="00AE13FF">
            <w:pPr>
              <w:widowControl/>
              <w:adjustRightInd/>
              <w:spacing w:before="60" w:line="240" w:lineRule="auto"/>
              <w:jc w:val="left"/>
              <w:textAlignment w:val="auto"/>
              <w:rPr>
                <w:rFonts w:ascii="Arial" w:hAnsi="Arial" w:cs="Arial"/>
                <w:bCs/>
                <w:iCs/>
                <w:lang w:val="el-GR"/>
              </w:rPr>
            </w:pPr>
            <w:r w:rsidRPr="00AE13FF">
              <w:rPr>
                <w:rFonts w:ascii="Arial" w:hAnsi="Arial" w:cs="Arial"/>
                <w:bCs/>
                <w:iCs/>
                <w:lang w:val="el-GR"/>
              </w:rPr>
              <w:t>Refining</w:t>
            </w:r>
            <w:r>
              <w:rPr>
                <w:rFonts w:ascii="Arial" w:hAnsi="Arial" w:cs="Arial"/>
                <w:bCs/>
                <w:iCs/>
                <w:lang w:val="en-US"/>
              </w:rPr>
              <w:t xml:space="preserve"> </w:t>
            </w:r>
            <w:r w:rsidRPr="00AE13FF">
              <w:rPr>
                <w:rFonts w:ascii="Arial" w:hAnsi="Arial" w:cs="Arial"/>
                <w:bCs/>
                <w:iCs/>
                <w:lang w:val="el-GR"/>
              </w:rPr>
              <w:t>Sales</w:t>
            </w:r>
            <w:r>
              <w:rPr>
                <w:rFonts w:ascii="Arial" w:hAnsi="Arial" w:cs="Arial"/>
                <w:bCs/>
                <w:iCs/>
                <w:lang w:val="en-US"/>
              </w:rPr>
              <w:t xml:space="preserve"> </w:t>
            </w:r>
            <w:r w:rsidRPr="00AE13FF">
              <w:rPr>
                <w:rFonts w:ascii="Arial" w:hAnsi="Arial" w:cs="Arial"/>
                <w:bCs/>
                <w:iCs/>
                <w:lang w:val="el-GR"/>
              </w:rPr>
              <w:t>Volumes (‘000 ΜΤ)</w:t>
            </w:r>
          </w:p>
        </w:tc>
        <w:tc>
          <w:tcPr>
            <w:tcW w:w="1162" w:type="dxa"/>
            <w:shd w:val="clear" w:color="auto" w:fill="D9D9D9"/>
            <w:vAlign w:val="center"/>
          </w:tcPr>
          <w:p w:rsidR="000B22DF" w:rsidRPr="00AE13FF" w:rsidRDefault="000B22DF" w:rsidP="000748D9">
            <w:pPr>
              <w:widowControl/>
              <w:adjustRightInd/>
              <w:spacing w:before="60" w:line="240" w:lineRule="auto"/>
              <w:jc w:val="right"/>
              <w:textAlignment w:val="auto"/>
              <w:rPr>
                <w:rFonts w:ascii="Arial" w:hAnsi="Arial" w:cs="Arial"/>
                <w:bCs/>
                <w:iCs/>
                <w:lang w:val="el-GR"/>
              </w:rPr>
            </w:pPr>
            <w:r w:rsidRPr="00AE13FF">
              <w:rPr>
                <w:rFonts w:ascii="Arial" w:hAnsi="Arial" w:cs="Arial"/>
                <w:bCs/>
                <w:iCs/>
                <w:lang w:val="el-GR"/>
              </w:rPr>
              <w:t>12,696</w:t>
            </w:r>
          </w:p>
        </w:tc>
        <w:tc>
          <w:tcPr>
            <w:tcW w:w="1176" w:type="dxa"/>
            <w:shd w:val="clear" w:color="auto" w:fill="D9D9D9"/>
            <w:vAlign w:val="center"/>
          </w:tcPr>
          <w:p w:rsidR="000B22DF" w:rsidRPr="00AE13FF" w:rsidRDefault="000B22DF" w:rsidP="000748D9">
            <w:pPr>
              <w:widowControl/>
              <w:adjustRightInd/>
              <w:spacing w:before="60" w:line="240" w:lineRule="auto"/>
              <w:jc w:val="right"/>
              <w:textAlignment w:val="auto"/>
              <w:rPr>
                <w:rFonts w:ascii="Arial" w:hAnsi="Arial" w:cs="Arial"/>
                <w:bCs/>
                <w:iCs/>
                <w:lang w:val="el-GR"/>
              </w:rPr>
            </w:pPr>
            <w:r w:rsidRPr="00AE13FF">
              <w:rPr>
                <w:rFonts w:ascii="Arial" w:hAnsi="Arial" w:cs="Arial"/>
                <w:bCs/>
                <w:iCs/>
                <w:lang w:val="el-GR"/>
              </w:rPr>
              <w:t>13,538</w:t>
            </w:r>
          </w:p>
        </w:tc>
      </w:tr>
      <w:tr w:rsidR="000B22DF" w:rsidRPr="00600F6E" w:rsidTr="009A5F0A">
        <w:trPr>
          <w:trHeight w:val="465"/>
        </w:trPr>
        <w:tc>
          <w:tcPr>
            <w:tcW w:w="1217" w:type="dxa"/>
            <w:vAlign w:val="center"/>
          </w:tcPr>
          <w:p w:rsidR="000B22DF" w:rsidRPr="009214C7" w:rsidRDefault="000B22DF" w:rsidP="009214C7">
            <w:pPr>
              <w:widowControl/>
              <w:adjustRightInd/>
              <w:spacing w:before="60" w:line="240" w:lineRule="auto"/>
              <w:jc w:val="right"/>
              <w:textAlignment w:val="auto"/>
              <w:rPr>
                <w:rFonts w:ascii="Arial" w:hAnsi="Arial" w:cs="Arial"/>
                <w:b/>
                <w:bCs/>
                <w:iCs/>
                <w:lang w:val="el-GR"/>
              </w:rPr>
            </w:pPr>
            <w:r w:rsidRPr="009214C7">
              <w:rPr>
                <w:rFonts w:ascii="Arial" w:hAnsi="Arial" w:cs="Arial"/>
                <w:b/>
                <w:bCs/>
                <w:iCs/>
                <w:lang w:val="el-GR"/>
              </w:rPr>
              <w:t>45</w:t>
            </w:r>
          </w:p>
        </w:tc>
        <w:tc>
          <w:tcPr>
            <w:tcW w:w="1276" w:type="dxa"/>
            <w:vAlign w:val="center"/>
          </w:tcPr>
          <w:p w:rsidR="000B22DF" w:rsidRPr="00EB05E1" w:rsidRDefault="000B22DF" w:rsidP="00EB05E1">
            <w:pPr>
              <w:widowControl/>
              <w:adjustRightInd/>
              <w:spacing w:before="60" w:line="240" w:lineRule="auto"/>
              <w:jc w:val="right"/>
              <w:textAlignment w:val="auto"/>
              <w:rPr>
                <w:rFonts w:ascii="Arial" w:hAnsi="Arial" w:cs="Arial"/>
                <w:b/>
                <w:bCs/>
                <w:iCs/>
                <w:lang w:val="en-GB"/>
              </w:rPr>
            </w:pPr>
            <w:r w:rsidRPr="009214C7">
              <w:rPr>
                <w:rFonts w:ascii="Arial" w:hAnsi="Arial" w:cs="Arial"/>
                <w:b/>
                <w:bCs/>
                <w:iCs/>
                <w:lang w:val="el-GR"/>
              </w:rPr>
              <w:t>1</w:t>
            </w:r>
            <w:r>
              <w:rPr>
                <w:rFonts w:ascii="Arial" w:hAnsi="Arial" w:cs="Arial"/>
                <w:b/>
                <w:bCs/>
                <w:iCs/>
                <w:lang w:val="en-GB"/>
              </w:rPr>
              <w:t>71</w:t>
            </w:r>
          </w:p>
        </w:tc>
        <w:tc>
          <w:tcPr>
            <w:tcW w:w="4158" w:type="dxa"/>
            <w:vAlign w:val="center"/>
          </w:tcPr>
          <w:p w:rsidR="000B22DF" w:rsidRPr="00AE13FF" w:rsidRDefault="000B22DF" w:rsidP="00AE13FF">
            <w:pPr>
              <w:widowControl/>
              <w:adjustRightInd/>
              <w:spacing w:before="60" w:line="240" w:lineRule="auto"/>
              <w:jc w:val="left"/>
              <w:textAlignment w:val="auto"/>
              <w:rPr>
                <w:rFonts w:ascii="Arial" w:hAnsi="Arial" w:cs="Arial"/>
                <w:b/>
                <w:bCs/>
                <w:iCs/>
                <w:lang w:val="el-GR"/>
              </w:rPr>
            </w:pPr>
            <w:r w:rsidRPr="00AE13FF">
              <w:rPr>
                <w:rFonts w:ascii="Arial" w:hAnsi="Arial" w:cs="Arial"/>
                <w:b/>
                <w:bCs/>
                <w:iCs/>
                <w:lang w:val="el-GR"/>
              </w:rPr>
              <w:t>Adjusted EBITDA</w:t>
            </w:r>
          </w:p>
        </w:tc>
        <w:tc>
          <w:tcPr>
            <w:tcW w:w="1162" w:type="dxa"/>
            <w:vAlign w:val="center"/>
          </w:tcPr>
          <w:p w:rsidR="000B22DF" w:rsidRPr="000748D9" w:rsidRDefault="000B22DF" w:rsidP="000748D9">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178</w:t>
            </w:r>
          </w:p>
        </w:tc>
        <w:tc>
          <w:tcPr>
            <w:tcW w:w="1176" w:type="dxa"/>
            <w:vAlign w:val="center"/>
          </w:tcPr>
          <w:p w:rsidR="000B22DF" w:rsidRPr="00EB05E1" w:rsidRDefault="000B22DF" w:rsidP="00EB05E1">
            <w:pPr>
              <w:widowControl/>
              <w:adjustRightInd/>
              <w:spacing w:before="60" w:line="240" w:lineRule="auto"/>
              <w:jc w:val="right"/>
              <w:textAlignment w:val="auto"/>
              <w:rPr>
                <w:rFonts w:ascii="Arial" w:hAnsi="Arial" w:cs="Arial"/>
                <w:bCs/>
                <w:iCs/>
                <w:lang w:val="en-GB"/>
              </w:rPr>
            </w:pPr>
            <w:r w:rsidRPr="000748D9">
              <w:rPr>
                <w:rFonts w:ascii="Arial" w:hAnsi="Arial" w:cs="Arial"/>
                <w:bCs/>
                <w:iCs/>
                <w:lang w:val="el-GR"/>
              </w:rPr>
              <w:t>41</w:t>
            </w:r>
            <w:r>
              <w:rPr>
                <w:rFonts w:ascii="Arial" w:hAnsi="Arial" w:cs="Arial"/>
                <w:bCs/>
                <w:iCs/>
                <w:lang w:val="en-GB"/>
              </w:rPr>
              <w:t>7</w:t>
            </w:r>
          </w:p>
        </w:tc>
      </w:tr>
      <w:tr w:rsidR="000B22DF" w:rsidRPr="00600F6E" w:rsidTr="009A5F0A">
        <w:trPr>
          <w:trHeight w:val="465"/>
        </w:trPr>
        <w:tc>
          <w:tcPr>
            <w:tcW w:w="1217" w:type="dxa"/>
            <w:shd w:val="clear" w:color="auto" w:fill="D9D9D9"/>
            <w:vAlign w:val="center"/>
          </w:tcPr>
          <w:p w:rsidR="000B22DF" w:rsidRPr="000748D9" w:rsidRDefault="000B22DF" w:rsidP="000748D9">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(6)</w:t>
            </w:r>
          </w:p>
        </w:tc>
        <w:tc>
          <w:tcPr>
            <w:tcW w:w="1276" w:type="dxa"/>
            <w:shd w:val="clear" w:color="auto" w:fill="D9D9D9"/>
            <w:vAlign w:val="center"/>
          </w:tcPr>
          <w:p w:rsidR="000B22DF" w:rsidRPr="000748D9" w:rsidRDefault="000B22DF" w:rsidP="00EB05E1">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(3</w:t>
            </w:r>
            <w:r>
              <w:rPr>
                <w:rFonts w:ascii="Arial" w:hAnsi="Arial" w:cs="Arial"/>
                <w:bCs/>
                <w:iCs/>
                <w:lang w:val="en-GB"/>
              </w:rPr>
              <w:t>75</w:t>
            </w:r>
            <w:r w:rsidRPr="000748D9">
              <w:rPr>
                <w:rFonts w:ascii="Arial" w:hAnsi="Arial" w:cs="Arial"/>
                <w:bCs/>
                <w:iCs/>
                <w:lang w:val="el-GR"/>
              </w:rPr>
              <w:t>)</w:t>
            </w:r>
          </w:p>
        </w:tc>
        <w:tc>
          <w:tcPr>
            <w:tcW w:w="4158" w:type="dxa"/>
            <w:shd w:val="clear" w:color="auto" w:fill="D9D9D9"/>
            <w:vAlign w:val="center"/>
          </w:tcPr>
          <w:p w:rsidR="000B22DF" w:rsidRPr="00AE13FF" w:rsidRDefault="000B22DF" w:rsidP="00AE13FF">
            <w:pPr>
              <w:widowControl/>
              <w:adjustRightInd/>
              <w:spacing w:before="60" w:line="240" w:lineRule="auto"/>
              <w:jc w:val="left"/>
              <w:textAlignment w:val="auto"/>
              <w:rPr>
                <w:rFonts w:ascii="Arial" w:hAnsi="Arial" w:cs="Arial"/>
                <w:bCs/>
                <w:iCs/>
                <w:lang w:val="el-GR"/>
              </w:rPr>
            </w:pPr>
            <w:r w:rsidRPr="00AE13FF">
              <w:rPr>
                <w:rFonts w:ascii="Arial" w:hAnsi="Arial" w:cs="Arial"/>
                <w:bCs/>
                <w:iCs/>
                <w:lang w:val="el-GR"/>
              </w:rPr>
              <w:t>Inventory</w:t>
            </w:r>
            <w:r>
              <w:rPr>
                <w:rFonts w:ascii="Arial" w:hAnsi="Arial" w:cs="Arial"/>
                <w:bCs/>
                <w:iCs/>
                <w:lang w:val="en-US"/>
              </w:rPr>
              <w:t xml:space="preserve"> </w:t>
            </w:r>
            <w:r w:rsidRPr="00AE13FF">
              <w:rPr>
                <w:rFonts w:ascii="Arial" w:hAnsi="Arial" w:cs="Arial"/>
                <w:bCs/>
                <w:iCs/>
                <w:lang w:val="el-GR"/>
              </w:rPr>
              <w:t>effect</w:t>
            </w:r>
          </w:p>
        </w:tc>
        <w:tc>
          <w:tcPr>
            <w:tcW w:w="1162" w:type="dxa"/>
            <w:shd w:val="clear" w:color="auto" w:fill="D9D9D9"/>
            <w:vAlign w:val="center"/>
          </w:tcPr>
          <w:p w:rsidR="000B22DF" w:rsidRPr="000748D9" w:rsidRDefault="000B22DF" w:rsidP="000748D9">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(70)</w:t>
            </w:r>
          </w:p>
        </w:tc>
        <w:tc>
          <w:tcPr>
            <w:tcW w:w="1176" w:type="dxa"/>
            <w:shd w:val="clear" w:color="auto" w:fill="D9D9D9"/>
            <w:vAlign w:val="center"/>
          </w:tcPr>
          <w:p w:rsidR="000B22DF" w:rsidRPr="000748D9" w:rsidRDefault="000B22DF" w:rsidP="00EB05E1">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(4</w:t>
            </w:r>
            <w:r>
              <w:rPr>
                <w:rFonts w:ascii="Arial" w:hAnsi="Arial" w:cs="Arial"/>
                <w:bCs/>
                <w:iCs/>
                <w:lang w:val="en-GB"/>
              </w:rPr>
              <w:t>84</w:t>
            </w:r>
            <w:r w:rsidRPr="000748D9">
              <w:rPr>
                <w:rFonts w:ascii="Arial" w:hAnsi="Arial" w:cs="Arial"/>
                <w:bCs/>
                <w:iCs/>
                <w:lang w:val="el-GR"/>
              </w:rPr>
              <w:t>)</w:t>
            </w:r>
          </w:p>
        </w:tc>
      </w:tr>
      <w:tr w:rsidR="000B22DF" w:rsidRPr="00600F6E" w:rsidTr="00AE13FF">
        <w:trPr>
          <w:trHeight w:val="465"/>
        </w:trPr>
        <w:tc>
          <w:tcPr>
            <w:tcW w:w="1217" w:type="dxa"/>
            <w:shd w:val="clear" w:color="auto" w:fill="FFFFFF"/>
            <w:vAlign w:val="center"/>
          </w:tcPr>
          <w:p w:rsidR="000B22DF" w:rsidRPr="009214C7" w:rsidRDefault="000B22DF" w:rsidP="009214C7">
            <w:pPr>
              <w:widowControl/>
              <w:adjustRightInd/>
              <w:spacing w:before="60" w:line="240" w:lineRule="auto"/>
              <w:jc w:val="right"/>
              <w:textAlignment w:val="auto"/>
              <w:rPr>
                <w:rFonts w:ascii="Arial" w:hAnsi="Arial" w:cs="Arial"/>
                <w:bCs/>
                <w:iCs/>
                <w:lang w:val="el-GR"/>
              </w:rPr>
            </w:pPr>
            <w:r w:rsidRPr="009214C7">
              <w:rPr>
                <w:rFonts w:ascii="Arial" w:hAnsi="Arial" w:cs="Arial"/>
                <w:bCs/>
                <w:iCs/>
                <w:lang w:val="el-GR"/>
              </w:rPr>
              <w:t>(11)</w:t>
            </w:r>
          </w:p>
        </w:tc>
        <w:tc>
          <w:tcPr>
            <w:tcW w:w="1276" w:type="dxa"/>
            <w:shd w:val="clear" w:color="auto" w:fill="FFFFFF"/>
            <w:vAlign w:val="center"/>
          </w:tcPr>
          <w:p w:rsidR="000B22DF" w:rsidRPr="009214C7" w:rsidRDefault="000B22DF" w:rsidP="004B44B9">
            <w:pPr>
              <w:widowControl/>
              <w:adjustRightInd/>
              <w:spacing w:before="60" w:line="240" w:lineRule="auto"/>
              <w:jc w:val="right"/>
              <w:textAlignment w:val="auto"/>
              <w:rPr>
                <w:rFonts w:ascii="Arial" w:hAnsi="Arial" w:cs="Arial"/>
                <w:bCs/>
                <w:iCs/>
                <w:lang w:val="el-GR"/>
              </w:rPr>
            </w:pPr>
            <w:r w:rsidRPr="009214C7">
              <w:rPr>
                <w:rFonts w:ascii="Arial" w:hAnsi="Arial" w:cs="Arial"/>
                <w:bCs/>
                <w:iCs/>
                <w:lang w:val="el-GR"/>
              </w:rPr>
              <w:t>(</w:t>
            </w:r>
            <w:r>
              <w:rPr>
                <w:rFonts w:ascii="Arial" w:hAnsi="Arial" w:cs="Arial"/>
                <w:bCs/>
                <w:iCs/>
                <w:lang w:val="en-US"/>
              </w:rPr>
              <w:t>206</w:t>
            </w:r>
            <w:r w:rsidRPr="009214C7">
              <w:rPr>
                <w:rFonts w:ascii="Arial" w:hAnsi="Arial" w:cs="Arial"/>
                <w:bCs/>
                <w:iCs/>
                <w:lang w:val="el-GR"/>
              </w:rPr>
              <w:t>)</w:t>
            </w:r>
          </w:p>
        </w:tc>
        <w:tc>
          <w:tcPr>
            <w:tcW w:w="4158" w:type="dxa"/>
            <w:shd w:val="clear" w:color="auto" w:fill="FFFFFF"/>
            <w:vAlign w:val="center"/>
          </w:tcPr>
          <w:p w:rsidR="000B22DF" w:rsidRPr="00AE13FF" w:rsidRDefault="000B22DF" w:rsidP="00AE13FF">
            <w:pPr>
              <w:widowControl/>
              <w:adjustRightInd/>
              <w:spacing w:before="60" w:line="240" w:lineRule="auto"/>
              <w:jc w:val="left"/>
              <w:textAlignment w:val="auto"/>
              <w:rPr>
                <w:rFonts w:ascii="Arial" w:hAnsi="Arial" w:cs="Arial"/>
                <w:bCs/>
                <w:iCs/>
                <w:lang w:val="el-GR"/>
              </w:rPr>
            </w:pPr>
            <w:r w:rsidRPr="00AE13FF">
              <w:rPr>
                <w:rFonts w:ascii="Arial" w:hAnsi="Arial" w:cs="Arial"/>
                <w:bCs/>
                <w:iCs/>
                <w:lang w:val="el-GR"/>
              </w:rPr>
              <w:t>EBITDA</w:t>
            </w:r>
          </w:p>
        </w:tc>
        <w:tc>
          <w:tcPr>
            <w:tcW w:w="1162" w:type="dxa"/>
            <w:shd w:val="clear" w:color="auto" w:fill="FFFFFF"/>
            <w:vAlign w:val="center"/>
          </w:tcPr>
          <w:p w:rsidR="000B22DF" w:rsidRPr="000748D9" w:rsidRDefault="000B22DF" w:rsidP="000748D9">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29</w:t>
            </w:r>
          </w:p>
        </w:tc>
        <w:tc>
          <w:tcPr>
            <w:tcW w:w="1176" w:type="dxa"/>
            <w:shd w:val="clear" w:color="auto" w:fill="FFFFFF"/>
            <w:vAlign w:val="center"/>
          </w:tcPr>
          <w:p w:rsidR="000B22DF" w:rsidRPr="000748D9" w:rsidRDefault="000B22DF" w:rsidP="00EB05E1">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(8</w:t>
            </w:r>
            <w:r>
              <w:rPr>
                <w:rFonts w:ascii="Arial" w:hAnsi="Arial" w:cs="Arial"/>
                <w:bCs/>
                <w:iCs/>
                <w:lang w:val="en-GB"/>
              </w:rPr>
              <w:t>4</w:t>
            </w:r>
            <w:r w:rsidRPr="000748D9">
              <w:rPr>
                <w:rFonts w:ascii="Arial" w:hAnsi="Arial" w:cs="Arial"/>
                <w:bCs/>
                <w:iCs/>
                <w:lang w:val="el-GR"/>
              </w:rPr>
              <w:t>)</w:t>
            </w:r>
          </w:p>
        </w:tc>
      </w:tr>
      <w:tr w:rsidR="000B22DF" w:rsidRPr="006C01FC" w:rsidTr="00AE13FF">
        <w:trPr>
          <w:trHeight w:val="465"/>
        </w:trPr>
        <w:tc>
          <w:tcPr>
            <w:tcW w:w="1217" w:type="dxa"/>
            <w:shd w:val="clear" w:color="auto" w:fill="D9D9D9"/>
            <w:vAlign w:val="center"/>
          </w:tcPr>
          <w:p w:rsidR="000B22DF" w:rsidRPr="005D6669" w:rsidRDefault="000B22DF" w:rsidP="000748D9">
            <w:pPr>
              <w:widowControl/>
              <w:adjustRightInd/>
              <w:spacing w:before="60" w:line="240" w:lineRule="auto"/>
              <w:jc w:val="right"/>
              <w:textAlignment w:val="auto"/>
              <w:rPr>
                <w:rFonts w:ascii="Arial" w:hAnsi="Arial" w:cs="Arial"/>
                <w:b/>
                <w:bCs/>
                <w:iCs/>
                <w:lang w:val="el-GR"/>
              </w:rPr>
            </w:pPr>
            <w:r w:rsidRPr="005D6669">
              <w:rPr>
                <w:rFonts w:ascii="Arial" w:hAnsi="Arial" w:cs="Arial"/>
                <w:b/>
                <w:bCs/>
                <w:iCs/>
                <w:lang w:val="el-GR"/>
              </w:rPr>
              <w:t>(35)</w:t>
            </w:r>
          </w:p>
        </w:tc>
        <w:tc>
          <w:tcPr>
            <w:tcW w:w="1276" w:type="dxa"/>
            <w:shd w:val="clear" w:color="auto" w:fill="D9D9D9"/>
            <w:vAlign w:val="center"/>
          </w:tcPr>
          <w:p w:rsidR="000B22DF" w:rsidRPr="005D6669" w:rsidRDefault="000B22DF" w:rsidP="000748D9">
            <w:pPr>
              <w:widowControl/>
              <w:adjustRightInd/>
              <w:spacing w:before="60" w:line="240" w:lineRule="auto"/>
              <w:jc w:val="right"/>
              <w:textAlignment w:val="auto"/>
              <w:rPr>
                <w:rFonts w:ascii="Arial" w:hAnsi="Arial" w:cs="Arial"/>
                <w:b/>
                <w:bCs/>
                <w:iCs/>
                <w:lang w:val="el-GR"/>
              </w:rPr>
            </w:pPr>
            <w:r w:rsidRPr="005D6669">
              <w:rPr>
                <w:rFonts w:ascii="Arial" w:hAnsi="Arial" w:cs="Arial"/>
                <w:b/>
                <w:bCs/>
                <w:iCs/>
                <w:lang w:val="el-GR"/>
              </w:rPr>
              <w:t>53</w:t>
            </w:r>
          </w:p>
        </w:tc>
        <w:tc>
          <w:tcPr>
            <w:tcW w:w="4158" w:type="dxa"/>
            <w:shd w:val="clear" w:color="auto" w:fill="D9D9D9"/>
            <w:vAlign w:val="center"/>
          </w:tcPr>
          <w:p w:rsidR="000B22DF" w:rsidRPr="005D6669" w:rsidRDefault="000B22DF" w:rsidP="00AE13FF">
            <w:pPr>
              <w:widowControl/>
              <w:adjustRightInd/>
              <w:spacing w:before="60" w:line="240" w:lineRule="auto"/>
              <w:jc w:val="left"/>
              <w:textAlignment w:val="auto"/>
              <w:rPr>
                <w:rFonts w:ascii="Arial" w:hAnsi="Arial" w:cs="Arial"/>
                <w:b/>
                <w:bCs/>
                <w:iCs/>
                <w:lang w:val="el-GR"/>
              </w:rPr>
            </w:pPr>
            <w:r w:rsidRPr="005D6669">
              <w:rPr>
                <w:rFonts w:ascii="Arial" w:hAnsi="Arial" w:cs="Arial"/>
                <w:b/>
                <w:bCs/>
                <w:iCs/>
                <w:lang w:val="el-GR"/>
              </w:rPr>
              <w:t>Adjusted</w:t>
            </w:r>
            <w:r>
              <w:rPr>
                <w:rFonts w:ascii="Arial" w:hAnsi="Arial" w:cs="Arial"/>
                <w:b/>
                <w:bCs/>
                <w:iCs/>
                <w:lang w:val="en-US"/>
              </w:rPr>
              <w:t xml:space="preserve"> </w:t>
            </w:r>
            <w:r w:rsidRPr="005D6669">
              <w:rPr>
                <w:rFonts w:ascii="Arial" w:hAnsi="Arial" w:cs="Arial"/>
                <w:b/>
                <w:bCs/>
                <w:iCs/>
                <w:lang w:val="el-GR"/>
              </w:rPr>
              <w:t>Net</w:t>
            </w:r>
            <w:r>
              <w:rPr>
                <w:rFonts w:ascii="Arial" w:hAnsi="Arial" w:cs="Arial"/>
                <w:b/>
                <w:bCs/>
                <w:iCs/>
                <w:lang w:val="en-US"/>
              </w:rPr>
              <w:t xml:space="preserve"> </w:t>
            </w:r>
            <w:r w:rsidRPr="005D6669">
              <w:rPr>
                <w:rFonts w:ascii="Arial" w:hAnsi="Arial" w:cs="Arial"/>
                <w:b/>
                <w:bCs/>
                <w:iCs/>
                <w:lang w:val="el-GR"/>
              </w:rPr>
              <w:t>Income</w:t>
            </w:r>
          </w:p>
        </w:tc>
        <w:tc>
          <w:tcPr>
            <w:tcW w:w="1162" w:type="dxa"/>
            <w:shd w:val="clear" w:color="auto" w:fill="D9D9D9"/>
            <w:vAlign w:val="center"/>
          </w:tcPr>
          <w:p w:rsidR="000B22DF" w:rsidRPr="005D6669" w:rsidRDefault="000B22DF" w:rsidP="000748D9">
            <w:pPr>
              <w:widowControl/>
              <w:adjustRightInd/>
              <w:spacing w:before="60" w:line="240" w:lineRule="auto"/>
              <w:jc w:val="right"/>
              <w:textAlignment w:val="auto"/>
              <w:rPr>
                <w:rFonts w:ascii="Arial" w:hAnsi="Arial" w:cs="Arial"/>
                <w:b/>
                <w:bCs/>
                <w:iCs/>
                <w:lang w:val="el-GR"/>
              </w:rPr>
            </w:pPr>
            <w:r w:rsidRPr="005D6669">
              <w:rPr>
                <w:rFonts w:ascii="Arial" w:hAnsi="Arial" w:cs="Arial"/>
                <w:b/>
                <w:bCs/>
                <w:iCs/>
                <w:lang w:val="el-GR"/>
              </w:rPr>
              <w:t>(117)</w:t>
            </w:r>
          </w:p>
        </w:tc>
        <w:tc>
          <w:tcPr>
            <w:tcW w:w="1176" w:type="dxa"/>
            <w:shd w:val="clear" w:color="auto" w:fill="D9D9D9"/>
            <w:vAlign w:val="center"/>
          </w:tcPr>
          <w:p w:rsidR="000B22DF" w:rsidRPr="00EB05E1" w:rsidRDefault="000B22DF" w:rsidP="000748D9">
            <w:pPr>
              <w:widowControl/>
              <w:adjustRightInd/>
              <w:spacing w:before="60" w:line="240" w:lineRule="auto"/>
              <w:jc w:val="right"/>
              <w:textAlignment w:val="auto"/>
              <w:rPr>
                <w:rFonts w:ascii="Arial" w:hAnsi="Arial" w:cs="Arial"/>
                <w:b/>
                <w:bCs/>
                <w:iCs/>
                <w:lang w:val="en-GB"/>
              </w:rPr>
            </w:pPr>
            <w:r>
              <w:rPr>
                <w:rFonts w:ascii="Arial" w:hAnsi="Arial" w:cs="Arial"/>
                <w:b/>
                <w:bCs/>
                <w:iCs/>
                <w:lang w:val="en-GB"/>
              </w:rPr>
              <w:t>5</w:t>
            </w:r>
          </w:p>
        </w:tc>
      </w:tr>
      <w:tr w:rsidR="000B22DF" w:rsidRPr="00301011" w:rsidTr="009214C7">
        <w:trPr>
          <w:trHeight w:val="465"/>
        </w:trPr>
        <w:tc>
          <w:tcPr>
            <w:tcW w:w="1217" w:type="dxa"/>
            <w:shd w:val="clear" w:color="auto" w:fill="FFFFFF"/>
            <w:vAlign w:val="center"/>
          </w:tcPr>
          <w:p w:rsidR="000B22DF" w:rsidRPr="000748D9" w:rsidRDefault="000B22DF" w:rsidP="000748D9">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(98)</w:t>
            </w:r>
          </w:p>
        </w:tc>
        <w:tc>
          <w:tcPr>
            <w:tcW w:w="1276" w:type="dxa"/>
            <w:shd w:val="clear" w:color="auto" w:fill="FFFFFF"/>
            <w:vAlign w:val="center"/>
          </w:tcPr>
          <w:p w:rsidR="000B22DF" w:rsidRPr="000748D9" w:rsidRDefault="000B22DF" w:rsidP="007316C0">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(2</w:t>
            </w:r>
            <w:r>
              <w:rPr>
                <w:rFonts w:ascii="Arial" w:hAnsi="Arial" w:cs="Arial"/>
                <w:bCs/>
                <w:iCs/>
                <w:lang w:val="en-GB"/>
              </w:rPr>
              <w:t>27</w:t>
            </w:r>
            <w:r w:rsidRPr="000748D9">
              <w:rPr>
                <w:rFonts w:ascii="Arial" w:hAnsi="Arial" w:cs="Arial"/>
                <w:bCs/>
                <w:iCs/>
                <w:lang w:val="el-GR"/>
              </w:rPr>
              <w:t>)</w:t>
            </w:r>
          </w:p>
        </w:tc>
        <w:tc>
          <w:tcPr>
            <w:tcW w:w="4158" w:type="dxa"/>
            <w:shd w:val="clear" w:color="auto" w:fill="FFFFFF"/>
            <w:vAlign w:val="center"/>
          </w:tcPr>
          <w:p w:rsidR="000B22DF" w:rsidRPr="00AE13FF" w:rsidRDefault="000B22DF" w:rsidP="00AE13FF">
            <w:pPr>
              <w:widowControl/>
              <w:adjustRightInd/>
              <w:spacing w:before="60" w:line="240" w:lineRule="auto"/>
              <w:jc w:val="left"/>
              <w:textAlignment w:val="auto"/>
              <w:rPr>
                <w:rFonts w:ascii="Arial" w:hAnsi="Arial" w:cs="Arial"/>
                <w:bCs/>
                <w:iCs/>
                <w:lang w:val="el-GR"/>
              </w:rPr>
            </w:pPr>
            <w:r w:rsidRPr="00AE13FF">
              <w:rPr>
                <w:rFonts w:ascii="Arial" w:hAnsi="Arial" w:cs="Arial"/>
                <w:bCs/>
                <w:iCs/>
                <w:lang w:val="el-GR"/>
              </w:rPr>
              <w:t>Net</w:t>
            </w:r>
            <w:r>
              <w:rPr>
                <w:rFonts w:ascii="Arial" w:hAnsi="Arial" w:cs="Arial"/>
                <w:bCs/>
                <w:iCs/>
                <w:lang w:val="en-US"/>
              </w:rPr>
              <w:t xml:space="preserve"> </w:t>
            </w:r>
            <w:r w:rsidRPr="00AE13FF">
              <w:rPr>
                <w:rFonts w:ascii="Arial" w:hAnsi="Arial" w:cs="Arial"/>
                <w:bCs/>
                <w:iCs/>
                <w:lang w:val="el-GR"/>
              </w:rPr>
              <w:t>Income</w:t>
            </w:r>
          </w:p>
        </w:tc>
        <w:tc>
          <w:tcPr>
            <w:tcW w:w="1162" w:type="dxa"/>
            <w:shd w:val="clear" w:color="auto" w:fill="FFFFFF"/>
            <w:vAlign w:val="center"/>
          </w:tcPr>
          <w:p w:rsidR="000B22DF" w:rsidRPr="000748D9" w:rsidRDefault="000B22DF" w:rsidP="000748D9">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(269)</w:t>
            </w:r>
          </w:p>
        </w:tc>
        <w:tc>
          <w:tcPr>
            <w:tcW w:w="1176" w:type="dxa"/>
            <w:shd w:val="clear" w:color="auto" w:fill="FFFFFF"/>
            <w:vAlign w:val="center"/>
          </w:tcPr>
          <w:p w:rsidR="000B22DF" w:rsidRPr="000748D9" w:rsidRDefault="000B22DF" w:rsidP="00EB05E1">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(3</w:t>
            </w:r>
            <w:r>
              <w:rPr>
                <w:rFonts w:ascii="Arial" w:hAnsi="Arial" w:cs="Arial"/>
                <w:bCs/>
                <w:iCs/>
                <w:lang w:val="en-GB"/>
              </w:rPr>
              <w:t>65</w:t>
            </w:r>
            <w:r w:rsidRPr="000748D9">
              <w:rPr>
                <w:rFonts w:ascii="Arial" w:hAnsi="Arial" w:cs="Arial"/>
                <w:bCs/>
                <w:iCs/>
                <w:lang w:val="el-GR"/>
              </w:rPr>
              <w:t>)</w:t>
            </w:r>
          </w:p>
        </w:tc>
      </w:tr>
      <w:tr w:rsidR="000B22DF" w:rsidRPr="00301011" w:rsidTr="009214C7">
        <w:trPr>
          <w:trHeight w:val="465"/>
        </w:trPr>
        <w:tc>
          <w:tcPr>
            <w:tcW w:w="1217" w:type="dxa"/>
            <w:shd w:val="pct10" w:color="auto" w:fill="FFFFFF"/>
            <w:vAlign w:val="center"/>
          </w:tcPr>
          <w:p w:rsidR="000B22DF" w:rsidRPr="000748D9" w:rsidRDefault="000B22DF" w:rsidP="000748D9">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55</w:t>
            </w:r>
          </w:p>
        </w:tc>
        <w:tc>
          <w:tcPr>
            <w:tcW w:w="1276" w:type="dxa"/>
            <w:shd w:val="pct10" w:color="auto" w:fill="FFFFFF"/>
            <w:vAlign w:val="center"/>
          </w:tcPr>
          <w:p w:rsidR="000B22DF" w:rsidRPr="00EB05E1" w:rsidRDefault="000B22DF" w:rsidP="000748D9">
            <w:pPr>
              <w:widowControl/>
              <w:adjustRightInd/>
              <w:spacing w:before="60" w:line="240" w:lineRule="auto"/>
              <w:jc w:val="right"/>
              <w:textAlignment w:val="auto"/>
              <w:rPr>
                <w:rFonts w:ascii="Arial" w:hAnsi="Arial" w:cs="Arial"/>
                <w:bCs/>
                <w:iCs/>
                <w:lang w:val="en-GB"/>
              </w:rPr>
            </w:pPr>
            <w:r>
              <w:rPr>
                <w:rFonts w:ascii="Arial" w:hAnsi="Arial" w:cs="Arial"/>
                <w:bCs/>
                <w:iCs/>
                <w:lang w:val="en-GB"/>
              </w:rPr>
              <w:t>51</w:t>
            </w:r>
          </w:p>
        </w:tc>
        <w:tc>
          <w:tcPr>
            <w:tcW w:w="4158" w:type="dxa"/>
            <w:shd w:val="pct10" w:color="auto" w:fill="FFFFFF"/>
            <w:vAlign w:val="center"/>
          </w:tcPr>
          <w:p w:rsidR="000B22DF" w:rsidRPr="00AE13FF" w:rsidRDefault="000B22DF" w:rsidP="009214C7">
            <w:pPr>
              <w:widowControl/>
              <w:adjustRightInd/>
              <w:spacing w:before="60" w:line="240" w:lineRule="auto"/>
              <w:jc w:val="left"/>
              <w:textAlignment w:val="auto"/>
              <w:rPr>
                <w:rFonts w:ascii="Arial" w:hAnsi="Arial" w:cs="Arial"/>
                <w:bCs/>
                <w:iCs/>
                <w:lang w:val="el-GR"/>
              </w:rPr>
            </w:pPr>
            <w:r w:rsidRPr="00AE13FF">
              <w:rPr>
                <w:rFonts w:ascii="Arial" w:hAnsi="Arial" w:cs="Arial"/>
                <w:bCs/>
                <w:iCs/>
                <w:lang w:val="el-GR"/>
              </w:rPr>
              <w:t>Capex</w:t>
            </w:r>
          </w:p>
        </w:tc>
        <w:tc>
          <w:tcPr>
            <w:tcW w:w="1162" w:type="dxa"/>
            <w:shd w:val="pct10" w:color="auto" w:fill="FFFFFF"/>
            <w:vAlign w:val="center"/>
          </w:tcPr>
          <w:p w:rsidR="000B22DF" w:rsidRPr="000748D9" w:rsidRDefault="000B22DF" w:rsidP="000748D9">
            <w:pPr>
              <w:widowControl/>
              <w:adjustRightInd/>
              <w:spacing w:before="60" w:line="240" w:lineRule="auto"/>
              <w:jc w:val="right"/>
              <w:textAlignment w:val="auto"/>
              <w:rPr>
                <w:rFonts w:ascii="Arial" w:hAnsi="Arial" w:cs="Arial"/>
                <w:bCs/>
                <w:iCs/>
                <w:lang w:val="el-GR"/>
              </w:rPr>
            </w:pPr>
            <w:r w:rsidRPr="000748D9">
              <w:rPr>
                <w:rFonts w:ascii="Arial" w:hAnsi="Arial" w:cs="Arial"/>
                <w:bCs/>
                <w:iCs/>
                <w:lang w:val="el-GR"/>
              </w:rPr>
              <w:t>112</w:t>
            </w:r>
          </w:p>
        </w:tc>
        <w:tc>
          <w:tcPr>
            <w:tcW w:w="1176" w:type="dxa"/>
            <w:shd w:val="pct10" w:color="auto" w:fill="FFFFFF"/>
            <w:vAlign w:val="center"/>
          </w:tcPr>
          <w:p w:rsidR="000B22DF" w:rsidRPr="00EB05E1" w:rsidRDefault="000B22DF" w:rsidP="00EB05E1">
            <w:pPr>
              <w:widowControl/>
              <w:adjustRightInd/>
              <w:spacing w:before="60" w:line="240" w:lineRule="auto"/>
              <w:jc w:val="right"/>
              <w:textAlignment w:val="auto"/>
              <w:rPr>
                <w:rFonts w:ascii="Arial" w:hAnsi="Arial" w:cs="Arial"/>
                <w:bCs/>
                <w:iCs/>
                <w:lang w:val="en-GB"/>
              </w:rPr>
            </w:pPr>
            <w:r w:rsidRPr="000748D9">
              <w:rPr>
                <w:rFonts w:ascii="Arial" w:hAnsi="Arial" w:cs="Arial"/>
                <w:bCs/>
                <w:iCs/>
                <w:lang w:val="el-GR"/>
              </w:rPr>
              <w:t>13</w:t>
            </w:r>
            <w:r>
              <w:rPr>
                <w:rFonts w:ascii="Arial" w:hAnsi="Arial" w:cs="Arial"/>
                <w:bCs/>
                <w:iCs/>
                <w:lang w:val="en-GB"/>
              </w:rPr>
              <w:t>6</w:t>
            </w:r>
          </w:p>
        </w:tc>
      </w:tr>
      <w:tr w:rsidR="000B22DF" w:rsidRPr="00493B6A" w:rsidTr="000748D9">
        <w:trPr>
          <w:trHeight w:val="465"/>
        </w:trPr>
        <w:tc>
          <w:tcPr>
            <w:tcW w:w="1217" w:type="dxa"/>
            <w:vAlign w:val="center"/>
          </w:tcPr>
          <w:p w:rsidR="000B22DF" w:rsidRPr="00AE13FF" w:rsidRDefault="000B22DF" w:rsidP="00AE13FF">
            <w:pPr>
              <w:widowControl/>
              <w:adjustRightInd/>
              <w:spacing w:before="60" w:line="240" w:lineRule="auto"/>
              <w:jc w:val="right"/>
              <w:textAlignment w:val="auto"/>
              <w:rPr>
                <w:rFonts w:ascii="Arial" w:hAnsi="Arial" w:cs="Arial"/>
                <w:bCs/>
                <w:iCs/>
                <w:lang w:val="el-GR"/>
              </w:rPr>
            </w:pPr>
            <w:r w:rsidRPr="00AE13FF">
              <w:rPr>
                <w:rFonts w:ascii="Arial" w:hAnsi="Arial" w:cs="Arial"/>
                <w:bCs/>
                <w:iCs/>
                <w:lang w:val="el-GR"/>
              </w:rPr>
              <w:t>-</w:t>
            </w:r>
          </w:p>
        </w:tc>
        <w:tc>
          <w:tcPr>
            <w:tcW w:w="1276" w:type="dxa"/>
            <w:vAlign w:val="center"/>
          </w:tcPr>
          <w:p w:rsidR="000B22DF" w:rsidRPr="00AE13FF" w:rsidRDefault="000B22DF" w:rsidP="00AE13FF">
            <w:pPr>
              <w:widowControl/>
              <w:adjustRightInd/>
              <w:spacing w:before="60" w:line="240" w:lineRule="auto"/>
              <w:jc w:val="right"/>
              <w:textAlignment w:val="auto"/>
              <w:rPr>
                <w:rFonts w:ascii="Arial" w:hAnsi="Arial" w:cs="Arial"/>
                <w:bCs/>
                <w:iCs/>
                <w:lang w:val="el-GR"/>
              </w:rPr>
            </w:pPr>
            <w:r w:rsidRPr="00AE13FF">
              <w:rPr>
                <w:rFonts w:ascii="Arial" w:hAnsi="Arial" w:cs="Arial"/>
                <w:bCs/>
                <w:iCs/>
                <w:lang w:val="el-GR"/>
              </w:rPr>
              <w:t>-</w:t>
            </w:r>
          </w:p>
        </w:tc>
        <w:tc>
          <w:tcPr>
            <w:tcW w:w="4158" w:type="dxa"/>
            <w:vAlign w:val="center"/>
          </w:tcPr>
          <w:p w:rsidR="000B22DF" w:rsidRPr="00AE13FF" w:rsidRDefault="000B22DF" w:rsidP="00AE13FF">
            <w:pPr>
              <w:widowControl/>
              <w:adjustRightInd/>
              <w:spacing w:before="60" w:line="240" w:lineRule="auto"/>
              <w:jc w:val="left"/>
              <w:textAlignment w:val="auto"/>
              <w:rPr>
                <w:rFonts w:ascii="Arial" w:hAnsi="Arial" w:cs="Arial"/>
                <w:bCs/>
                <w:iCs/>
                <w:lang w:val="el-GR"/>
              </w:rPr>
            </w:pPr>
            <w:r w:rsidRPr="00AE13FF">
              <w:rPr>
                <w:rFonts w:ascii="Arial" w:hAnsi="Arial" w:cs="Arial"/>
                <w:bCs/>
                <w:iCs/>
                <w:lang w:val="el-GR"/>
              </w:rPr>
              <w:t>Gearing</w:t>
            </w:r>
          </w:p>
        </w:tc>
        <w:tc>
          <w:tcPr>
            <w:tcW w:w="1162" w:type="dxa"/>
            <w:vAlign w:val="center"/>
          </w:tcPr>
          <w:p w:rsidR="000B22DF" w:rsidRPr="00AE13FF" w:rsidRDefault="000B22DF" w:rsidP="000748D9">
            <w:pPr>
              <w:widowControl/>
              <w:adjustRightInd/>
              <w:spacing w:before="60" w:line="240" w:lineRule="auto"/>
              <w:jc w:val="right"/>
              <w:textAlignment w:val="auto"/>
              <w:rPr>
                <w:rFonts w:ascii="Arial" w:hAnsi="Arial" w:cs="Arial"/>
                <w:bCs/>
                <w:iCs/>
                <w:lang w:val="el-GR"/>
              </w:rPr>
            </w:pPr>
            <w:r w:rsidRPr="00AE13FF">
              <w:rPr>
                <w:rFonts w:ascii="Arial" w:hAnsi="Arial" w:cs="Arial"/>
                <w:bCs/>
                <w:iCs/>
                <w:lang w:val="el-GR"/>
              </w:rPr>
              <w:t>43%</w:t>
            </w:r>
          </w:p>
        </w:tc>
        <w:tc>
          <w:tcPr>
            <w:tcW w:w="1176" w:type="dxa"/>
            <w:vAlign w:val="center"/>
          </w:tcPr>
          <w:p w:rsidR="000B22DF" w:rsidRPr="00AE13FF" w:rsidRDefault="000B22DF" w:rsidP="000748D9">
            <w:pPr>
              <w:widowControl/>
              <w:adjustRightInd/>
              <w:spacing w:before="60" w:line="240" w:lineRule="auto"/>
              <w:jc w:val="right"/>
              <w:textAlignment w:val="auto"/>
              <w:rPr>
                <w:rFonts w:ascii="Arial" w:hAnsi="Arial" w:cs="Arial"/>
                <w:bCs/>
                <w:iCs/>
                <w:lang w:val="el-GR"/>
              </w:rPr>
            </w:pPr>
            <w:r w:rsidRPr="00AE13FF">
              <w:rPr>
                <w:rFonts w:ascii="Arial" w:hAnsi="Arial" w:cs="Arial"/>
                <w:bCs/>
                <w:iCs/>
                <w:lang w:val="el-GR"/>
              </w:rPr>
              <w:t>40%</w:t>
            </w:r>
          </w:p>
        </w:tc>
      </w:tr>
      <w:tr w:rsidR="000B22DF" w:rsidRPr="00301011" w:rsidTr="00812B84">
        <w:trPr>
          <w:trHeight w:val="465"/>
        </w:trPr>
        <w:tc>
          <w:tcPr>
            <w:tcW w:w="1217" w:type="dxa"/>
            <w:shd w:val="clear" w:color="auto" w:fill="D9D9D9"/>
            <w:vAlign w:val="center"/>
          </w:tcPr>
          <w:p w:rsidR="000B22DF" w:rsidRPr="00AE13FF" w:rsidRDefault="000B22DF" w:rsidP="00AE13FF">
            <w:pPr>
              <w:widowControl/>
              <w:adjustRightInd/>
              <w:spacing w:before="60" w:line="240" w:lineRule="auto"/>
              <w:jc w:val="right"/>
              <w:textAlignment w:val="auto"/>
              <w:rPr>
                <w:rFonts w:ascii="Arial" w:hAnsi="Arial" w:cs="Arial"/>
                <w:bCs/>
                <w:iCs/>
                <w:lang w:val="el-GR"/>
              </w:rPr>
            </w:pPr>
            <w:r w:rsidRPr="00AE13FF">
              <w:rPr>
                <w:rFonts w:ascii="Arial" w:hAnsi="Arial" w:cs="Arial"/>
                <w:bCs/>
                <w:iCs/>
                <w:lang w:val="el-GR"/>
              </w:rPr>
              <w:t>2.3</w:t>
            </w:r>
          </w:p>
        </w:tc>
        <w:tc>
          <w:tcPr>
            <w:tcW w:w="1276" w:type="dxa"/>
            <w:shd w:val="clear" w:color="auto" w:fill="D9D9D9"/>
            <w:vAlign w:val="center"/>
          </w:tcPr>
          <w:p w:rsidR="000B22DF" w:rsidRPr="00AE13FF" w:rsidRDefault="000B22DF" w:rsidP="00AE13FF">
            <w:pPr>
              <w:widowControl/>
              <w:adjustRightInd/>
              <w:spacing w:before="60" w:line="240" w:lineRule="auto"/>
              <w:jc w:val="right"/>
              <w:textAlignment w:val="auto"/>
              <w:rPr>
                <w:rFonts w:ascii="Arial" w:hAnsi="Arial" w:cs="Arial"/>
                <w:bCs/>
                <w:iCs/>
                <w:lang w:val="el-GR"/>
              </w:rPr>
            </w:pPr>
            <w:r w:rsidRPr="00AE13FF">
              <w:rPr>
                <w:rFonts w:ascii="Arial" w:hAnsi="Arial" w:cs="Arial"/>
                <w:bCs/>
                <w:iCs/>
                <w:lang w:val="el-GR"/>
              </w:rPr>
              <w:t>4.0</w:t>
            </w:r>
          </w:p>
        </w:tc>
        <w:tc>
          <w:tcPr>
            <w:tcW w:w="4158" w:type="dxa"/>
            <w:shd w:val="clear" w:color="auto" w:fill="D9D9D9"/>
            <w:vAlign w:val="center"/>
          </w:tcPr>
          <w:p w:rsidR="000B22DF" w:rsidRPr="00AE13FF" w:rsidRDefault="000B22DF" w:rsidP="00AE13FF">
            <w:pPr>
              <w:widowControl/>
              <w:adjustRightInd/>
              <w:spacing w:before="60" w:line="240" w:lineRule="auto"/>
              <w:jc w:val="left"/>
              <w:textAlignment w:val="auto"/>
              <w:rPr>
                <w:rFonts w:ascii="Arial" w:hAnsi="Arial" w:cs="Arial"/>
                <w:bCs/>
                <w:iCs/>
                <w:lang w:val="en-US"/>
              </w:rPr>
            </w:pPr>
            <w:r w:rsidRPr="00AE13FF">
              <w:rPr>
                <w:rFonts w:ascii="Arial" w:hAnsi="Arial" w:cs="Arial"/>
                <w:bCs/>
                <w:iCs/>
                <w:lang w:val="en-US"/>
              </w:rPr>
              <w:t>ELPE benchmark refining margin ($/bbl)</w:t>
            </w:r>
          </w:p>
        </w:tc>
        <w:tc>
          <w:tcPr>
            <w:tcW w:w="1162" w:type="dxa"/>
            <w:shd w:val="clear" w:color="auto" w:fill="D9D9D9"/>
            <w:vAlign w:val="center"/>
          </w:tcPr>
          <w:p w:rsidR="000B22DF" w:rsidRPr="00AE13FF" w:rsidRDefault="000B22DF" w:rsidP="000748D9">
            <w:pPr>
              <w:widowControl/>
              <w:adjustRightInd/>
              <w:spacing w:before="60" w:line="240" w:lineRule="auto"/>
              <w:jc w:val="right"/>
              <w:textAlignment w:val="auto"/>
              <w:rPr>
                <w:rFonts w:ascii="Arial" w:hAnsi="Arial" w:cs="Arial"/>
                <w:bCs/>
                <w:iCs/>
                <w:lang w:val="el-GR"/>
              </w:rPr>
            </w:pPr>
            <w:r w:rsidRPr="00AE13FF">
              <w:rPr>
                <w:rFonts w:ascii="Arial" w:hAnsi="Arial" w:cs="Arial"/>
                <w:bCs/>
                <w:iCs/>
                <w:lang w:val="el-GR"/>
              </w:rPr>
              <w:t>2.1</w:t>
            </w:r>
          </w:p>
        </w:tc>
        <w:tc>
          <w:tcPr>
            <w:tcW w:w="1176" w:type="dxa"/>
            <w:shd w:val="clear" w:color="auto" w:fill="D9D9D9"/>
            <w:vAlign w:val="center"/>
          </w:tcPr>
          <w:p w:rsidR="000B22DF" w:rsidRPr="00AE13FF" w:rsidRDefault="000B22DF" w:rsidP="000748D9">
            <w:pPr>
              <w:widowControl/>
              <w:adjustRightInd/>
              <w:spacing w:before="60" w:line="240" w:lineRule="auto"/>
              <w:jc w:val="right"/>
              <w:textAlignment w:val="auto"/>
              <w:rPr>
                <w:rFonts w:ascii="Arial" w:hAnsi="Arial" w:cs="Arial"/>
                <w:bCs/>
                <w:iCs/>
                <w:lang w:val="el-GR"/>
              </w:rPr>
            </w:pPr>
            <w:r w:rsidRPr="00AE13FF">
              <w:rPr>
                <w:rFonts w:ascii="Arial" w:hAnsi="Arial" w:cs="Arial"/>
                <w:bCs/>
                <w:iCs/>
                <w:lang w:val="el-GR"/>
              </w:rPr>
              <w:t>2.8</w:t>
            </w:r>
          </w:p>
        </w:tc>
      </w:tr>
    </w:tbl>
    <w:p w:rsidR="000B22DF" w:rsidRDefault="000B22DF" w:rsidP="00772034">
      <w:pPr>
        <w:pStyle w:val="BlockText"/>
        <w:spacing w:after="120" w:line="360" w:lineRule="auto"/>
        <w:ind w:left="0" w:right="0" w:firstLine="0"/>
        <w:rPr>
          <w:b/>
          <w:i/>
          <w:sz w:val="20"/>
          <w:lang w:val="en-US"/>
        </w:rPr>
      </w:pPr>
    </w:p>
    <w:p w:rsidR="000B22DF" w:rsidRPr="00772034" w:rsidRDefault="000B22DF" w:rsidP="00772034">
      <w:pPr>
        <w:pStyle w:val="BlockText"/>
        <w:spacing w:after="120" w:line="360" w:lineRule="auto"/>
        <w:ind w:left="0" w:right="0" w:firstLine="0"/>
        <w:rPr>
          <w:b/>
          <w:i/>
          <w:sz w:val="20"/>
          <w:lang w:val="en-US"/>
        </w:rPr>
      </w:pPr>
      <w:r w:rsidRPr="00772034">
        <w:rPr>
          <w:b/>
          <w:i/>
          <w:sz w:val="20"/>
          <w:lang w:val="en-US"/>
        </w:rPr>
        <w:t xml:space="preserve">Significant </w:t>
      </w:r>
      <w:r>
        <w:rPr>
          <w:b/>
          <w:i/>
          <w:sz w:val="20"/>
          <w:lang w:val="en-US"/>
        </w:rPr>
        <w:t xml:space="preserve">drop in </w:t>
      </w:r>
      <w:r w:rsidRPr="000E14A6">
        <w:rPr>
          <w:b/>
          <w:i/>
          <w:sz w:val="20"/>
          <w:lang w:val="en-US"/>
        </w:rPr>
        <w:t>crude</w:t>
      </w:r>
      <w:r>
        <w:rPr>
          <w:b/>
          <w:i/>
          <w:sz w:val="20"/>
          <w:lang w:val="en-US"/>
        </w:rPr>
        <w:t xml:space="preserve"> oil</w:t>
      </w:r>
      <w:r w:rsidRPr="000E14A6">
        <w:rPr>
          <w:b/>
          <w:i/>
          <w:sz w:val="20"/>
          <w:lang w:val="en-US"/>
        </w:rPr>
        <w:t xml:space="preserve"> prices </w:t>
      </w:r>
      <w:r w:rsidRPr="00772034">
        <w:rPr>
          <w:b/>
          <w:i/>
          <w:sz w:val="20"/>
          <w:lang w:val="en-US"/>
        </w:rPr>
        <w:t xml:space="preserve">and </w:t>
      </w:r>
      <w:r>
        <w:rPr>
          <w:b/>
          <w:i/>
          <w:sz w:val="20"/>
          <w:lang w:val="en-US"/>
        </w:rPr>
        <w:t xml:space="preserve">further </w:t>
      </w:r>
      <w:r w:rsidRPr="00772034">
        <w:rPr>
          <w:b/>
          <w:i/>
          <w:sz w:val="20"/>
          <w:lang w:val="en-US"/>
        </w:rPr>
        <w:t>improve</w:t>
      </w:r>
      <w:r>
        <w:rPr>
          <w:b/>
          <w:i/>
          <w:sz w:val="20"/>
          <w:lang w:val="en-US"/>
        </w:rPr>
        <w:t>ment of</w:t>
      </w:r>
      <w:r w:rsidRPr="00772034">
        <w:rPr>
          <w:b/>
          <w:i/>
          <w:sz w:val="20"/>
          <w:lang w:val="en-US"/>
        </w:rPr>
        <w:t xml:space="preserve"> European </w:t>
      </w:r>
      <w:r>
        <w:rPr>
          <w:b/>
          <w:i/>
          <w:sz w:val="20"/>
          <w:lang w:val="en-US"/>
        </w:rPr>
        <w:t>benchmark refining margins; stronger</w:t>
      </w:r>
      <w:r w:rsidRPr="00772034">
        <w:rPr>
          <w:b/>
          <w:i/>
          <w:sz w:val="20"/>
          <w:lang w:val="en-US"/>
        </w:rPr>
        <w:t xml:space="preserve"> dollar </w:t>
      </w:r>
      <w:r>
        <w:rPr>
          <w:b/>
          <w:i/>
          <w:sz w:val="20"/>
          <w:lang w:val="en-US"/>
        </w:rPr>
        <w:t>vs</w:t>
      </w:r>
      <w:r w:rsidRPr="00772034">
        <w:rPr>
          <w:b/>
          <w:i/>
          <w:sz w:val="20"/>
          <w:lang w:val="en-US"/>
        </w:rPr>
        <w:t xml:space="preserve"> euro</w:t>
      </w:r>
      <w:r>
        <w:rPr>
          <w:b/>
          <w:i/>
          <w:sz w:val="20"/>
          <w:lang w:val="en-US"/>
        </w:rPr>
        <w:t xml:space="preserve"> in 4Q14</w:t>
      </w:r>
    </w:p>
    <w:p w:rsidR="000B22DF" w:rsidRDefault="000B22DF" w:rsidP="00772034">
      <w:pPr>
        <w:pStyle w:val="BlockText"/>
        <w:spacing w:after="120" w:line="360" w:lineRule="auto"/>
        <w:ind w:left="0" w:right="0" w:firstLine="0"/>
        <w:rPr>
          <w:sz w:val="20"/>
          <w:lang w:val="en-US"/>
        </w:rPr>
      </w:pPr>
      <w:r>
        <w:rPr>
          <w:sz w:val="20"/>
          <w:lang w:val="en-US"/>
        </w:rPr>
        <w:t xml:space="preserve">Global oil supply surplus continued in 4Q14 mainly due to increased production in US and </w:t>
      </w:r>
      <w:smartTag w:uri="urn:schemas-microsoft-com:office:smarttags" w:element="place">
        <w:smartTag w:uri="urn:schemas-microsoft-com:office:smarttags" w:element="country-region">
          <w:r>
            <w:rPr>
              <w:sz w:val="20"/>
              <w:lang w:val="en-US"/>
            </w:rPr>
            <w:t>Iraq</w:t>
          </w:r>
        </w:smartTag>
      </w:smartTag>
      <w:r>
        <w:rPr>
          <w:sz w:val="20"/>
          <w:lang w:val="en-US"/>
        </w:rPr>
        <w:t xml:space="preserve"> and OPEC’s decision to maintain its output unchanged. As a result, crude prices dropped to their lowest since May 2009, with January 2015 Brent crude oil price falling below $50/bbl; a decline of$45/bblin 4Q14 and more than $65/bblin 2H14. </w:t>
      </w:r>
    </w:p>
    <w:p w:rsidR="000B22DF" w:rsidRDefault="000B22DF" w:rsidP="00772034">
      <w:pPr>
        <w:pStyle w:val="BlockText"/>
        <w:spacing w:after="120" w:line="360" w:lineRule="auto"/>
        <w:ind w:left="0" w:right="0" w:firstLine="0"/>
        <w:rPr>
          <w:sz w:val="20"/>
          <w:lang w:val="en-US"/>
        </w:rPr>
      </w:pPr>
      <w:r>
        <w:rPr>
          <w:sz w:val="20"/>
          <w:lang w:val="en-US"/>
        </w:rPr>
        <w:t>US dollar strengthened further vs euro q-o-q, with a positive effect on $ driven benchmark margins. Euro averaged $1.25 in 4Q14, the lowest since 2006.</w:t>
      </w:r>
    </w:p>
    <w:p w:rsidR="000B22DF" w:rsidRDefault="000B22DF" w:rsidP="00AE13FF">
      <w:pPr>
        <w:pStyle w:val="BlockText"/>
        <w:spacing w:after="120" w:line="360" w:lineRule="auto"/>
        <w:ind w:left="0" w:right="0" w:firstLine="0"/>
        <w:rPr>
          <w:sz w:val="20"/>
          <w:lang w:val="en-US"/>
        </w:rPr>
      </w:pPr>
      <w:r>
        <w:rPr>
          <w:sz w:val="20"/>
          <w:lang w:val="en-GB"/>
        </w:rPr>
        <w:t>Reduced</w:t>
      </w:r>
      <w:r>
        <w:rPr>
          <w:sz w:val="20"/>
          <w:lang w:val="en-US"/>
        </w:rPr>
        <w:t xml:space="preserve"> energy costs, due to weak crude prices and lower diesel imports from </w:t>
      </w:r>
      <w:smartTag w:uri="urn:schemas-microsoft-com:office:smarttags" w:element="place">
        <w:r>
          <w:rPr>
            <w:sz w:val="20"/>
            <w:lang w:val="en-US"/>
          </w:rPr>
          <w:t>North America</w:t>
        </w:r>
      </w:smartTag>
      <w:r>
        <w:rPr>
          <w:sz w:val="20"/>
          <w:lang w:val="en-US"/>
        </w:rPr>
        <w:t xml:space="preserve"> were among key factors that supported benchmark margins improvement during 2H14, reversing the challenging environment of the first half. Benchmark Med </w:t>
      </w:r>
      <w:r w:rsidRPr="009F2CBC">
        <w:rPr>
          <w:sz w:val="20"/>
          <w:lang w:val="en-US"/>
        </w:rPr>
        <w:t xml:space="preserve">FCC </w:t>
      </w:r>
      <w:r>
        <w:rPr>
          <w:sz w:val="20"/>
          <w:lang w:val="en-US"/>
        </w:rPr>
        <w:t>margins averaged $3.4</w:t>
      </w:r>
      <w:r w:rsidRPr="0098316F">
        <w:rPr>
          <w:sz w:val="20"/>
          <w:lang w:val="en-US"/>
        </w:rPr>
        <w:t>/bbl</w:t>
      </w:r>
      <w:r w:rsidRPr="009F2CBC">
        <w:rPr>
          <w:sz w:val="20"/>
          <w:lang w:val="en-US"/>
        </w:rPr>
        <w:t>, (</w:t>
      </w:r>
      <w:r>
        <w:rPr>
          <w:sz w:val="20"/>
          <w:lang w:val="en-US"/>
        </w:rPr>
        <w:t>20</w:t>
      </w:r>
      <w:r w:rsidRPr="009F2CBC">
        <w:rPr>
          <w:sz w:val="20"/>
          <w:lang w:val="en-US"/>
        </w:rPr>
        <w:t>13: $</w:t>
      </w:r>
      <w:r>
        <w:rPr>
          <w:sz w:val="20"/>
          <w:lang w:val="en-US"/>
        </w:rPr>
        <w:t xml:space="preserve">2.4/bbl), while </w:t>
      </w:r>
      <w:r w:rsidRPr="009F2CBC">
        <w:rPr>
          <w:sz w:val="20"/>
          <w:lang w:val="en-US"/>
        </w:rPr>
        <w:t xml:space="preserve">Hydrocracking </w:t>
      </w:r>
      <w:r>
        <w:rPr>
          <w:sz w:val="20"/>
          <w:lang w:val="en-US"/>
        </w:rPr>
        <w:t xml:space="preserve">came </w:t>
      </w:r>
      <w:r w:rsidRPr="009F2CBC">
        <w:rPr>
          <w:sz w:val="20"/>
          <w:lang w:val="en-US"/>
        </w:rPr>
        <w:t>at $</w:t>
      </w:r>
      <w:r>
        <w:rPr>
          <w:sz w:val="20"/>
          <w:lang w:val="en-US"/>
        </w:rPr>
        <w:t>4.5</w:t>
      </w:r>
      <w:r w:rsidRPr="009F2CBC">
        <w:rPr>
          <w:sz w:val="20"/>
          <w:lang w:val="en-US"/>
        </w:rPr>
        <w:t>/bbl (</w:t>
      </w:r>
      <w:r>
        <w:rPr>
          <w:sz w:val="20"/>
          <w:lang w:val="en-US"/>
        </w:rPr>
        <w:t>20</w:t>
      </w:r>
      <w:r w:rsidRPr="009F2CBC">
        <w:rPr>
          <w:sz w:val="20"/>
          <w:lang w:val="en-US"/>
        </w:rPr>
        <w:t>13: $</w:t>
      </w:r>
      <w:r>
        <w:rPr>
          <w:sz w:val="20"/>
          <w:lang w:val="en-US"/>
        </w:rPr>
        <w:t>3.7</w:t>
      </w:r>
      <w:r w:rsidRPr="009F2CBC">
        <w:rPr>
          <w:sz w:val="20"/>
          <w:lang w:val="en-US"/>
        </w:rPr>
        <w:t>/bbl)</w:t>
      </w:r>
      <w:r>
        <w:rPr>
          <w:sz w:val="20"/>
          <w:lang w:val="en-US"/>
        </w:rPr>
        <w:t>.</w:t>
      </w:r>
    </w:p>
    <w:p w:rsidR="000B22DF" w:rsidRPr="00426FBD" w:rsidRDefault="000B22DF" w:rsidP="00004268">
      <w:pPr>
        <w:pStyle w:val="BlockText"/>
        <w:spacing w:after="120" w:line="360" w:lineRule="auto"/>
        <w:ind w:left="0" w:right="0" w:firstLine="0"/>
        <w:rPr>
          <w:sz w:val="16"/>
          <w:lang w:val="en-US"/>
        </w:rPr>
      </w:pPr>
    </w:p>
    <w:p w:rsidR="000B22DF" w:rsidRDefault="000B22DF" w:rsidP="009F2CBC">
      <w:pPr>
        <w:pStyle w:val="BlockText"/>
        <w:spacing w:after="120" w:line="360" w:lineRule="auto"/>
        <w:ind w:left="0" w:right="0" w:firstLine="0"/>
        <w:rPr>
          <w:b/>
          <w:i/>
          <w:sz w:val="20"/>
          <w:lang w:val="en-US"/>
        </w:rPr>
      </w:pPr>
      <w:r>
        <w:rPr>
          <w:b/>
          <w:i/>
          <w:sz w:val="20"/>
          <w:lang w:val="en-US"/>
        </w:rPr>
        <w:t>Demand growth in domestic fuels</w:t>
      </w:r>
      <w:r w:rsidRPr="009458FF">
        <w:rPr>
          <w:b/>
          <w:i/>
          <w:sz w:val="20"/>
          <w:lang w:val="en-US"/>
        </w:rPr>
        <w:t xml:space="preserve"> market</w:t>
      </w:r>
    </w:p>
    <w:p w:rsidR="000B22DF" w:rsidRDefault="000B22DF" w:rsidP="009F2CBC">
      <w:pPr>
        <w:pStyle w:val="BlockText"/>
        <w:spacing w:after="120" w:line="360" w:lineRule="auto"/>
        <w:ind w:left="0" w:right="0" w:firstLine="0"/>
        <w:rPr>
          <w:sz w:val="20"/>
          <w:lang w:val="en-US"/>
        </w:rPr>
      </w:pPr>
      <w:r>
        <w:rPr>
          <w:sz w:val="20"/>
          <w:lang w:val="en-US"/>
        </w:rPr>
        <w:t>D</w:t>
      </w:r>
      <w:r w:rsidRPr="00312FA9">
        <w:rPr>
          <w:sz w:val="20"/>
          <w:lang w:val="en-US"/>
        </w:rPr>
        <w:t xml:space="preserve">omestic fuels demand </w:t>
      </w:r>
      <w:r>
        <w:rPr>
          <w:sz w:val="20"/>
          <w:lang w:val="en-US"/>
        </w:rPr>
        <w:t xml:space="preserve">in </w:t>
      </w:r>
      <w:r w:rsidRPr="00AE13FF">
        <w:rPr>
          <w:sz w:val="20"/>
          <w:lang w:val="en-US"/>
        </w:rPr>
        <w:t>20</w:t>
      </w:r>
      <w:r>
        <w:rPr>
          <w:sz w:val="20"/>
          <w:lang w:val="en-US"/>
        </w:rPr>
        <w:t xml:space="preserve">14 amounted to </w:t>
      </w:r>
      <w:r w:rsidRPr="00AE13FF">
        <w:rPr>
          <w:sz w:val="20"/>
          <w:lang w:val="en-US"/>
        </w:rPr>
        <w:t>6.7</w:t>
      </w:r>
      <w:r>
        <w:rPr>
          <w:sz w:val="20"/>
          <w:lang w:val="en-US"/>
        </w:rPr>
        <w:t xml:space="preserve"> million tones</w:t>
      </w:r>
      <w:r w:rsidRPr="00312FA9">
        <w:rPr>
          <w:sz w:val="20"/>
          <w:lang w:val="en-US"/>
        </w:rPr>
        <w:t>, accord</w:t>
      </w:r>
      <w:r>
        <w:rPr>
          <w:sz w:val="20"/>
          <w:lang w:val="en-US"/>
        </w:rPr>
        <w:t xml:space="preserve">ing to preliminary official market </w:t>
      </w:r>
      <w:r w:rsidRPr="00312FA9">
        <w:rPr>
          <w:sz w:val="20"/>
          <w:lang w:val="en-US"/>
        </w:rPr>
        <w:t xml:space="preserve">data, </w:t>
      </w:r>
      <w:r>
        <w:rPr>
          <w:sz w:val="20"/>
          <w:lang w:val="en-US"/>
        </w:rPr>
        <w:t xml:space="preserve">recording a </w:t>
      </w:r>
      <w:r>
        <w:rPr>
          <w:sz w:val="20"/>
          <w:lang w:val="en-GB"/>
        </w:rPr>
        <w:t>1.5% growth, for first time since 2009</w:t>
      </w:r>
      <w:r w:rsidRPr="0098398C">
        <w:rPr>
          <w:sz w:val="20"/>
          <w:lang w:val="en-US"/>
        </w:rPr>
        <w:t>.</w:t>
      </w:r>
      <w:r>
        <w:rPr>
          <w:sz w:val="20"/>
          <w:lang w:val="en-US"/>
        </w:rPr>
        <w:t>Diesel consumption increased, out weighing gasoline demand reduction, with diesel cars accounting for 60% of new car registrations. Furthermore, low prices coupled with the reduction of excise duty led to a 5% increase in the demand for heating gasoil.</w:t>
      </w:r>
    </w:p>
    <w:p w:rsidR="000B22DF" w:rsidRDefault="000B22DF" w:rsidP="009F2CBC">
      <w:pPr>
        <w:pStyle w:val="BlockText"/>
        <w:spacing w:after="120" w:line="360" w:lineRule="auto"/>
        <w:ind w:left="0" w:right="0" w:firstLine="0"/>
        <w:rPr>
          <w:sz w:val="12"/>
          <w:lang w:val="en-US"/>
        </w:rPr>
      </w:pPr>
    </w:p>
    <w:p w:rsidR="000B22DF" w:rsidRPr="009458FF" w:rsidRDefault="000B22DF" w:rsidP="00004268">
      <w:pPr>
        <w:pStyle w:val="BlockText"/>
        <w:spacing w:after="120" w:line="360" w:lineRule="auto"/>
        <w:ind w:left="0" w:right="0" w:firstLine="0"/>
        <w:rPr>
          <w:b/>
          <w:i/>
          <w:sz w:val="20"/>
          <w:lang w:val="en-US"/>
        </w:rPr>
      </w:pPr>
      <w:r>
        <w:rPr>
          <w:b/>
          <w:i/>
          <w:sz w:val="20"/>
          <w:lang w:val="en-US"/>
        </w:rPr>
        <w:t xml:space="preserve">Strong operating </w:t>
      </w:r>
      <w:r w:rsidRPr="009458FF">
        <w:rPr>
          <w:b/>
          <w:i/>
          <w:sz w:val="20"/>
          <w:lang w:val="en-US"/>
        </w:rPr>
        <w:t>results</w:t>
      </w:r>
      <w:r>
        <w:rPr>
          <w:b/>
          <w:i/>
          <w:sz w:val="20"/>
          <w:lang w:val="en-US"/>
        </w:rPr>
        <w:t xml:space="preserve"> in 4Q14</w:t>
      </w:r>
    </w:p>
    <w:p w:rsidR="000B22DF" w:rsidRDefault="000B22DF" w:rsidP="00004268">
      <w:pPr>
        <w:pStyle w:val="BlockText"/>
        <w:spacing w:after="120" w:line="360" w:lineRule="auto"/>
        <w:ind w:left="0" w:right="0" w:firstLine="0"/>
        <w:rPr>
          <w:sz w:val="20"/>
          <w:lang w:val="en-US"/>
        </w:rPr>
      </w:pPr>
      <w:r>
        <w:rPr>
          <w:sz w:val="20"/>
          <w:lang w:val="en-US"/>
        </w:rPr>
        <w:t>Group Adjusted EBITDA</w:t>
      </w:r>
      <w:r>
        <w:rPr>
          <w:sz w:val="20"/>
          <w:lang w:val="en-GB"/>
        </w:rPr>
        <w:t>came in</w:t>
      </w:r>
      <w:r>
        <w:rPr>
          <w:sz w:val="20"/>
          <w:lang w:val="en-US"/>
        </w:rPr>
        <w:t xml:space="preserve">at€171m </w:t>
      </w:r>
      <w:r w:rsidRPr="008B0826">
        <w:rPr>
          <w:sz w:val="20"/>
          <w:lang w:val="en-US"/>
        </w:rPr>
        <w:t>(</w:t>
      </w:r>
      <w:r>
        <w:rPr>
          <w:sz w:val="20"/>
          <w:lang w:val="en-US"/>
        </w:rPr>
        <w:t>4Q13</w:t>
      </w:r>
      <w:r w:rsidRPr="008B0826">
        <w:rPr>
          <w:sz w:val="20"/>
          <w:lang w:val="en-US"/>
        </w:rPr>
        <w:t xml:space="preserve">: </w:t>
      </w:r>
      <w:r>
        <w:rPr>
          <w:sz w:val="20"/>
          <w:lang w:val="en-US"/>
        </w:rPr>
        <w:t>€45m), reflecting mainly the enhanced contribution from refining operations. Elefsina refinery rebased its contribution, with high utilisation rates and consistent over-performance throughout the quarter. Furthermore, both Marketing and Petrochemicals increased contribution.</w:t>
      </w:r>
    </w:p>
    <w:p w:rsidR="000B22DF" w:rsidRPr="008B0826" w:rsidRDefault="000B22DF" w:rsidP="008B0826">
      <w:pPr>
        <w:pStyle w:val="BlockText"/>
        <w:spacing w:after="120" w:line="360" w:lineRule="auto"/>
        <w:ind w:left="0" w:right="0" w:firstLine="0"/>
        <w:rPr>
          <w:sz w:val="20"/>
          <w:lang w:val="en-US"/>
        </w:rPr>
      </w:pPr>
      <w:r>
        <w:rPr>
          <w:sz w:val="20"/>
          <w:lang w:val="en-US"/>
        </w:rPr>
        <w:t>T</w:t>
      </w:r>
      <w:r w:rsidRPr="008B0826">
        <w:rPr>
          <w:sz w:val="20"/>
          <w:lang w:val="en-US"/>
        </w:rPr>
        <w:t xml:space="preserve">he large </w:t>
      </w:r>
      <w:r>
        <w:rPr>
          <w:sz w:val="20"/>
          <w:lang w:val="en-US"/>
        </w:rPr>
        <w:t>drop</w:t>
      </w:r>
      <w:r w:rsidRPr="008B0826">
        <w:rPr>
          <w:sz w:val="20"/>
          <w:lang w:val="en-US"/>
        </w:rPr>
        <w:t xml:space="preserve"> in crude</w:t>
      </w:r>
      <w:r>
        <w:rPr>
          <w:sz w:val="20"/>
          <w:lang w:val="en-US"/>
        </w:rPr>
        <w:t xml:space="preserve"> oil</w:t>
      </w:r>
      <w:r w:rsidRPr="008B0826">
        <w:rPr>
          <w:sz w:val="20"/>
          <w:lang w:val="en-US"/>
        </w:rPr>
        <w:t xml:space="preserve"> and product prices </w:t>
      </w:r>
      <w:r>
        <w:rPr>
          <w:sz w:val="20"/>
          <w:lang w:val="en-US"/>
        </w:rPr>
        <w:t>resulted in inventory losses of €3</w:t>
      </w:r>
      <w:r w:rsidRPr="009C45DF">
        <w:rPr>
          <w:sz w:val="20"/>
          <w:lang w:val="en-US"/>
        </w:rPr>
        <w:t>75</w:t>
      </w:r>
      <w:r>
        <w:rPr>
          <w:sz w:val="20"/>
          <w:lang w:val="en-US"/>
        </w:rPr>
        <w:t>m, leading</w:t>
      </w:r>
      <w:r w:rsidRPr="008E4C71">
        <w:rPr>
          <w:sz w:val="20"/>
          <w:lang w:val="en-US"/>
        </w:rPr>
        <w:t xml:space="preserve"> 4</w:t>
      </w:r>
      <w:r>
        <w:rPr>
          <w:sz w:val="20"/>
          <w:lang w:val="en-GB"/>
        </w:rPr>
        <w:t>Q</w:t>
      </w:r>
      <w:r w:rsidRPr="008E4C71">
        <w:rPr>
          <w:sz w:val="20"/>
          <w:lang w:val="en-US"/>
        </w:rPr>
        <w:t>14</w:t>
      </w:r>
      <w:r>
        <w:rPr>
          <w:sz w:val="20"/>
          <w:lang w:val="en-US"/>
        </w:rPr>
        <w:t xml:space="preserve"> Reported </w:t>
      </w:r>
      <w:r w:rsidRPr="008B0826">
        <w:rPr>
          <w:sz w:val="20"/>
          <w:lang w:val="en-US"/>
        </w:rPr>
        <w:t xml:space="preserve">EBITDA </w:t>
      </w:r>
      <w:r>
        <w:rPr>
          <w:sz w:val="20"/>
          <w:lang w:val="en-US"/>
        </w:rPr>
        <w:t>to -€206(4Q</w:t>
      </w:r>
      <w:r w:rsidRPr="008B0826">
        <w:rPr>
          <w:sz w:val="20"/>
          <w:lang w:val="en-US"/>
        </w:rPr>
        <w:t>13:</w:t>
      </w:r>
      <w:r>
        <w:rPr>
          <w:sz w:val="20"/>
          <w:lang w:val="en-US"/>
        </w:rPr>
        <w:t>-€11m</w:t>
      </w:r>
      <w:r w:rsidRPr="008B0826">
        <w:rPr>
          <w:sz w:val="20"/>
          <w:lang w:val="en-US"/>
        </w:rPr>
        <w:t>)</w:t>
      </w:r>
      <w:r>
        <w:rPr>
          <w:sz w:val="20"/>
          <w:lang w:val="en-US"/>
        </w:rPr>
        <w:t>, while N</w:t>
      </w:r>
      <w:r w:rsidRPr="008B0826">
        <w:rPr>
          <w:sz w:val="20"/>
          <w:lang w:val="en-US"/>
        </w:rPr>
        <w:t xml:space="preserve">et </w:t>
      </w:r>
      <w:r>
        <w:rPr>
          <w:sz w:val="20"/>
          <w:lang w:val="en-US"/>
        </w:rPr>
        <w:t>Results amounted to-€2</w:t>
      </w:r>
      <w:r w:rsidRPr="009C45DF">
        <w:rPr>
          <w:sz w:val="20"/>
          <w:lang w:val="en-US"/>
        </w:rPr>
        <w:t>27</w:t>
      </w:r>
      <w:r w:rsidRPr="008B0826">
        <w:rPr>
          <w:sz w:val="20"/>
          <w:lang w:val="en-US"/>
        </w:rPr>
        <w:t>(</w:t>
      </w:r>
      <w:r>
        <w:rPr>
          <w:sz w:val="20"/>
          <w:lang w:val="en-US"/>
        </w:rPr>
        <w:t>4Q13</w:t>
      </w:r>
      <w:r w:rsidRPr="008B0826">
        <w:rPr>
          <w:sz w:val="20"/>
          <w:lang w:val="en-US"/>
        </w:rPr>
        <w:t xml:space="preserve">: </w:t>
      </w:r>
      <w:r>
        <w:rPr>
          <w:sz w:val="20"/>
          <w:lang w:val="en-US"/>
        </w:rPr>
        <w:t>-€98m</w:t>
      </w:r>
      <w:r w:rsidRPr="008B0826">
        <w:rPr>
          <w:sz w:val="20"/>
          <w:lang w:val="en-US"/>
        </w:rPr>
        <w:t>).</w:t>
      </w:r>
    </w:p>
    <w:p w:rsidR="000B22DF" w:rsidRDefault="000B22DF" w:rsidP="008B0826">
      <w:pPr>
        <w:pStyle w:val="BlockText"/>
        <w:spacing w:after="120" w:line="360" w:lineRule="auto"/>
        <w:ind w:left="0" w:right="0" w:firstLine="0"/>
        <w:rPr>
          <w:rFonts w:cs="Arial"/>
          <w:sz w:val="20"/>
          <w:lang w:val="en-US"/>
        </w:rPr>
      </w:pPr>
      <w:r>
        <w:rPr>
          <w:sz w:val="20"/>
          <w:lang w:val="en-US"/>
        </w:rPr>
        <w:t xml:space="preserve">Operating cash flow was positive for </w:t>
      </w:r>
      <w:r>
        <w:rPr>
          <w:sz w:val="20"/>
          <w:lang w:val="en-GB"/>
        </w:rPr>
        <w:t>the</w:t>
      </w:r>
      <w:r>
        <w:rPr>
          <w:sz w:val="20"/>
          <w:lang w:val="en-US"/>
        </w:rPr>
        <w:t xml:space="preserve"> second consecutive quarter, reflecting both improved performance and normalized capex. N</w:t>
      </w:r>
      <w:r w:rsidRPr="008B0826">
        <w:rPr>
          <w:sz w:val="20"/>
          <w:lang w:val="en-US"/>
        </w:rPr>
        <w:t xml:space="preserve">et </w:t>
      </w:r>
      <w:r>
        <w:rPr>
          <w:sz w:val="20"/>
          <w:lang w:val="en-US"/>
        </w:rPr>
        <w:t>debtat€1.1bn</w:t>
      </w:r>
      <w:r w:rsidRPr="008B0826">
        <w:rPr>
          <w:sz w:val="20"/>
          <w:lang w:val="en-US"/>
        </w:rPr>
        <w:t xml:space="preserve">, lower </w:t>
      </w:r>
      <w:r>
        <w:rPr>
          <w:sz w:val="20"/>
          <w:lang w:val="en-US"/>
        </w:rPr>
        <w:t>vs</w:t>
      </w:r>
      <w:r w:rsidRPr="008B0826">
        <w:rPr>
          <w:sz w:val="20"/>
          <w:lang w:val="en-US"/>
        </w:rPr>
        <w:t xml:space="preserve"> last year, </w:t>
      </w:r>
      <w:r>
        <w:rPr>
          <w:sz w:val="20"/>
          <w:lang w:val="en-US"/>
        </w:rPr>
        <w:t>with gearing</w:t>
      </w:r>
      <w:r w:rsidRPr="008B0826">
        <w:rPr>
          <w:sz w:val="20"/>
          <w:lang w:val="en-US"/>
        </w:rPr>
        <w:t xml:space="preserve"> at 4</w:t>
      </w:r>
      <w:r>
        <w:rPr>
          <w:sz w:val="20"/>
          <w:lang w:val="en-US"/>
        </w:rPr>
        <w:t>0</w:t>
      </w:r>
      <w:r w:rsidRPr="008B0826">
        <w:rPr>
          <w:sz w:val="20"/>
          <w:lang w:val="en-US"/>
        </w:rPr>
        <w:t>% (</w:t>
      </w:r>
      <w:r>
        <w:rPr>
          <w:sz w:val="20"/>
          <w:lang w:val="en-US"/>
        </w:rPr>
        <w:t>4Q13: 43%)</w:t>
      </w:r>
      <w:r w:rsidRPr="008B0826">
        <w:rPr>
          <w:sz w:val="20"/>
          <w:lang w:val="en-US"/>
        </w:rPr>
        <w:t xml:space="preserve">. </w:t>
      </w:r>
      <w:r>
        <w:rPr>
          <w:sz w:val="20"/>
          <w:lang w:val="en-US"/>
        </w:rPr>
        <w:t xml:space="preserve">In 4Q14, the Group renewed </w:t>
      </w:r>
      <w:r w:rsidRPr="00BE4269">
        <w:rPr>
          <w:sz w:val="20"/>
          <w:lang w:val="en-US"/>
        </w:rPr>
        <w:t>c.€1.5bn credit facilities</w:t>
      </w:r>
      <w:r>
        <w:rPr>
          <w:sz w:val="20"/>
          <w:lang w:val="en-US"/>
        </w:rPr>
        <w:t xml:space="preserve"> with Greek banks, further improving commercial terms</w:t>
      </w:r>
      <w:r w:rsidRPr="00B725B0">
        <w:rPr>
          <w:sz w:val="20"/>
          <w:lang w:val="en-US"/>
        </w:rPr>
        <w:t>,</w:t>
      </w:r>
      <w:r>
        <w:rPr>
          <w:sz w:val="20"/>
          <w:lang w:val="en-US"/>
        </w:rPr>
        <w:t xml:space="preserve"> maturity and cost. Moreover, in the first weeks of 2015, the Group signed a 3-year, €200</w:t>
      </w:r>
      <w:r w:rsidRPr="00AE13FF">
        <w:rPr>
          <w:sz w:val="20"/>
          <w:lang w:val="en-US"/>
        </w:rPr>
        <w:t>m</w:t>
      </w:r>
      <w:r>
        <w:rPr>
          <w:sz w:val="20"/>
          <w:lang w:val="en-US"/>
        </w:rPr>
        <w:t>revolving credit facility</w:t>
      </w:r>
      <w:r>
        <w:rPr>
          <w:rFonts w:cs="Arial"/>
          <w:sz w:val="20"/>
          <w:lang w:val="en-US"/>
        </w:rPr>
        <w:t xml:space="preserve">, which further </w:t>
      </w:r>
      <w:r w:rsidRPr="00DD7E6D">
        <w:rPr>
          <w:rFonts w:cs="Arial"/>
          <w:sz w:val="20"/>
          <w:lang w:val="en-US"/>
        </w:rPr>
        <w:t>added to the cash balance.</w:t>
      </w:r>
    </w:p>
    <w:p w:rsidR="000B22DF" w:rsidRDefault="000B22DF" w:rsidP="0072736A">
      <w:pPr>
        <w:pStyle w:val="BlockText"/>
        <w:snapToGrid w:val="0"/>
        <w:spacing w:after="120" w:line="360" w:lineRule="auto"/>
        <w:ind w:left="0" w:right="0" w:firstLine="0"/>
        <w:rPr>
          <w:rFonts w:cs="Arial"/>
          <w:sz w:val="20"/>
          <w:lang w:val="en-GB"/>
        </w:rPr>
      </w:pPr>
      <w:r>
        <w:rPr>
          <w:sz w:val="20"/>
          <w:lang w:val="en-US"/>
        </w:rPr>
        <w:t>Regarding the</w:t>
      </w:r>
      <w:r w:rsidRPr="0060081D">
        <w:rPr>
          <w:rFonts w:cs="Arial"/>
          <w:sz w:val="20"/>
          <w:lang w:val="en-GB"/>
        </w:rPr>
        <w:t>sale</w:t>
      </w:r>
      <w:r>
        <w:rPr>
          <w:rFonts w:cs="Arial"/>
          <w:sz w:val="20"/>
          <w:lang w:val="en-GB"/>
        </w:rPr>
        <w:t xml:space="preserve"> of 66% of DESFA share capital to SOCAR, t</w:t>
      </w:r>
      <w:r w:rsidRPr="00AC45E9">
        <w:rPr>
          <w:rFonts w:cs="Arial"/>
          <w:sz w:val="20"/>
          <w:lang w:val="en-GB"/>
        </w:rPr>
        <w:t xml:space="preserve">he regulatory approval </w:t>
      </w:r>
      <w:r>
        <w:rPr>
          <w:rFonts w:cs="Arial"/>
          <w:sz w:val="20"/>
          <w:lang w:val="en-GB"/>
        </w:rPr>
        <w:t>is in progress, with the approval</w:t>
      </w:r>
      <w:r w:rsidRPr="00564CFF">
        <w:rPr>
          <w:rFonts w:cs="Arial"/>
          <w:sz w:val="20"/>
          <w:lang w:val="en-GB"/>
        </w:rPr>
        <w:t xml:space="preserve"> of the European Competition</w:t>
      </w:r>
      <w:r>
        <w:rPr>
          <w:rFonts w:cs="Arial"/>
          <w:sz w:val="20"/>
          <w:lang w:val="en-GB"/>
        </w:rPr>
        <w:t xml:space="preserve"> Authorities being the final step</w:t>
      </w:r>
      <w:r w:rsidRPr="00564CFF">
        <w:rPr>
          <w:rFonts w:cs="Arial"/>
          <w:sz w:val="20"/>
          <w:lang w:val="en-GB"/>
        </w:rPr>
        <w:t xml:space="preserve"> for the completion</w:t>
      </w:r>
      <w:r>
        <w:rPr>
          <w:rFonts w:cs="Arial"/>
          <w:sz w:val="20"/>
          <w:lang w:val="en-GB"/>
        </w:rPr>
        <w:t xml:space="preserve"> </w:t>
      </w:r>
      <w:r w:rsidRPr="00564CFF">
        <w:rPr>
          <w:rFonts w:cs="Arial"/>
          <w:sz w:val="20"/>
          <w:lang w:val="en-GB"/>
        </w:rPr>
        <w:t xml:space="preserve">of </w:t>
      </w:r>
      <w:r>
        <w:rPr>
          <w:rFonts w:cs="Arial"/>
          <w:sz w:val="20"/>
          <w:lang w:val="en-GB"/>
        </w:rPr>
        <w:t xml:space="preserve">the </w:t>
      </w:r>
      <w:r w:rsidRPr="00564CFF">
        <w:rPr>
          <w:rFonts w:cs="Arial"/>
          <w:sz w:val="20"/>
          <w:lang w:val="en-GB"/>
        </w:rPr>
        <w:t xml:space="preserve">regulatory </w:t>
      </w:r>
      <w:r>
        <w:rPr>
          <w:rFonts w:cs="Arial"/>
          <w:sz w:val="20"/>
          <w:lang w:val="en-GB"/>
        </w:rPr>
        <w:t>clearance.</w:t>
      </w:r>
    </w:p>
    <w:p w:rsidR="000B22DF" w:rsidRDefault="000B22DF" w:rsidP="0072736A">
      <w:pPr>
        <w:pStyle w:val="BlockText"/>
        <w:snapToGrid w:val="0"/>
        <w:spacing w:after="120" w:line="360" w:lineRule="auto"/>
        <w:ind w:left="0" w:right="0" w:firstLine="0"/>
        <w:rPr>
          <w:rFonts w:cs="Arial"/>
          <w:sz w:val="20"/>
          <w:lang w:val="en-GB"/>
        </w:rPr>
      </w:pPr>
    </w:p>
    <w:p w:rsidR="000B22DF" w:rsidRPr="009458FF" w:rsidRDefault="000B22DF" w:rsidP="00AC45E9">
      <w:pPr>
        <w:pStyle w:val="BlockText"/>
        <w:spacing w:after="120" w:line="360" w:lineRule="auto"/>
        <w:ind w:left="0" w:right="0" w:firstLine="0"/>
        <w:rPr>
          <w:b/>
          <w:i/>
          <w:sz w:val="20"/>
          <w:lang w:val="en-US"/>
        </w:rPr>
      </w:pPr>
      <w:r>
        <w:rPr>
          <w:b/>
          <w:i/>
          <w:sz w:val="20"/>
          <w:lang w:val="en-US"/>
        </w:rPr>
        <w:t xml:space="preserve">Exploration and Production in </w:t>
      </w:r>
      <w:smartTag w:uri="urn:schemas-microsoft-com:office:smarttags" w:element="place">
        <w:smartTag w:uri="urn:schemas-microsoft-com:office:smarttags" w:element="country-region">
          <w:r>
            <w:rPr>
              <w:b/>
              <w:i/>
              <w:sz w:val="20"/>
              <w:lang w:val="en-US"/>
            </w:rPr>
            <w:t>Greece</w:t>
          </w:r>
        </w:smartTag>
      </w:smartTag>
    </w:p>
    <w:p w:rsidR="000B22DF" w:rsidRDefault="000B22DF" w:rsidP="00654545">
      <w:pPr>
        <w:spacing w:before="120" w:after="120" w:line="360" w:lineRule="auto"/>
        <w:rPr>
          <w:rFonts w:ascii="Arial" w:hAnsi="Arial" w:cs="Arial"/>
          <w:lang w:val="en-US"/>
        </w:rPr>
      </w:pPr>
      <w:r>
        <w:rPr>
          <w:rFonts w:ascii="Arial" w:hAnsi="Arial" w:cs="Arial"/>
          <w:lang w:val="en-US"/>
        </w:rPr>
        <w:t xml:space="preserve">On 6 February 2015, </w:t>
      </w:r>
      <w:r w:rsidRPr="00D43E80">
        <w:rPr>
          <w:rFonts w:ascii="Arial" w:hAnsi="Arial" w:cs="Arial"/>
          <w:lang w:val="en-US"/>
        </w:rPr>
        <w:t>HELLENIC PETROLEUM submitted</w:t>
      </w:r>
      <w:r>
        <w:rPr>
          <w:rFonts w:ascii="Arial" w:hAnsi="Arial" w:cs="Arial"/>
          <w:lang w:val="en-US"/>
        </w:rPr>
        <w:t xml:space="preserve"> </w:t>
      </w:r>
      <w:r w:rsidRPr="00D43E80">
        <w:rPr>
          <w:rFonts w:ascii="Arial" w:hAnsi="Arial" w:cs="Arial"/>
          <w:lang w:val="en-US"/>
        </w:rPr>
        <w:t>offers for the lease of Arta-Preveza and NW Peloponnese</w:t>
      </w:r>
      <w:r>
        <w:rPr>
          <w:rFonts w:ascii="Arial" w:hAnsi="Arial" w:cs="Arial"/>
          <w:lang w:val="en-US"/>
        </w:rPr>
        <w:t xml:space="preserve"> </w:t>
      </w:r>
      <w:r w:rsidRPr="00D43E80">
        <w:rPr>
          <w:rFonts w:ascii="Arial" w:hAnsi="Arial" w:cs="Arial"/>
          <w:lang w:val="en-US"/>
        </w:rPr>
        <w:t xml:space="preserve">areas in </w:t>
      </w:r>
      <w:smartTag w:uri="urn:schemas-microsoft-com:office:smarttags" w:element="place">
        <w:r w:rsidRPr="00D43E80">
          <w:rPr>
            <w:rFonts w:ascii="Arial" w:hAnsi="Arial" w:cs="Arial"/>
            <w:lang w:val="en-US"/>
          </w:rPr>
          <w:t>West Greece</w:t>
        </w:r>
      </w:smartTag>
      <w:r w:rsidRPr="00D43E80">
        <w:rPr>
          <w:rFonts w:ascii="Arial" w:hAnsi="Arial" w:cs="Arial"/>
          <w:lang w:val="en-US"/>
        </w:rPr>
        <w:t xml:space="preserve">, </w:t>
      </w:r>
      <w:r>
        <w:rPr>
          <w:rFonts w:ascii="Arial" w:hAnsi="Arial" w:cs="Arial"/>
          <w:lang w:val="en-US"/>
        </w:rPr>
        <w:t>following</w:t>
      </w:r>
      <w:r w:rsidRPr="00D43E80">
        <w:rPr>
          <w:rFonts w:ascii="Arial" w:hAnsi="Arial" w:cs="Arial"/>
          <w:lang w:val="en-US"/>
        </w:rPr>
        <w:t xml:space="preserve"> a relevant tender by the Ministry of Production</w:t>
      </w:r>
      <w:r>
        <w:rPr>
          <w:rFonts w:ascii="Arial" w:hAnsi="Arial" w:cs="Arial"/>
          <w:lang w:val="en-US"/>
        </w:rPr>
        <w:t xml:space="preserve"> Restructuring</w:t>
      </w:r>
      <w:r w:rsidRPr="00D43E80">
        <w:rPr>
          <w:rFonts w:ascii="Arial" w:hAnsi="Arial" w:cs="Arial"/>
          <w:lang w:val="en-US"/>
        </w:rPr>
        <w:t>, Environment &amp; Energy.</w:t>
      </w:r>
      <w:r>
        <w:rPr>
          <w:rFonts w:ascii="Arial" w:hAnsi="Arial" w:cs="Arial"/>
          <w:lang w:val="en-US"/>
        </w:rPr>
        <w:t xml:space="preserve"> In the </w:t>
      </w:r>
      <w:smartTag w:uri="urn:schemas-microsoft-com:office:smarttags" w:element="place">
        <w:smartTag w:uri="urn:schemas-microsoft-com:office:smarttags" w:element="PlaceName">
          <w:r>
            <w:rPr>
              <w:rFonts w:ascii="Arial" w:hAnsi="Arial" w:cs="Arial"/>
              <w:lang w:val="en-US"/>
            </w:rPr>
            <w:t>West</w:t>
          </w:r>
        </w:smartTag>
        <w:r>
          <w:rPr>
            <w:rFonts w:ascii="Arial" w:hAnsi="Arial" w:cs="Arial"/>
            <w:lang w:val="en-US"/>
          </w:rPr>
          <w:t xml:space="preserve"> </w:t>
        </w:r>
        <w:smartTag w:uri="urn:schemas-microsoft-com:office:smarttags" w:element="PlaceName">
          <w:r w:rsidRPr="00FE714A">
            <w:rPr>
              <w:rFonts w:ascii="Arial" w:hAnsi="Arial" w:cs="Arial"/>
              <w:lang w:val="en-US"/>
            </w:rPr>
            <w:t>Patraikos</w:t>
          </w:r>
        </w:smartTag>
        <w:r>
          <w:rPr>
            <w:rFonts w:ascii="Arial" w:hAnsi="Arial" w:cs="Arial"/>
            <w:lang w:val="en-US"/>
          </w:rPr>
          <w:t xml:space="preserve"> </w:t>
        </w:r>
        <w:smartTag w:uri="urn:schemas-microsoft-com:office:smarttags" w:element="PlaceType">
          <w:r>
            <w:rPr>
              <w:rFonts w:ascii="Arial" w:hAnsi="Arial" w:cs="Arial"/>
              <w:lang w:val="en-US"/>
            </w:rPr>
            <w:t>Gulf</w:t>
          </w:r>
        </w:smartTag>
      </w:smartTag>
      <w:r>
        <w:rPr>
          <w:rFonts w:ascii="Arial" w:hAnsi="Arial" w:cs="Arial"/>
          <w:lang w:val="en-US"/>
        </w:rPr>
        <w:t xml:space="preserve"> area, where HELLENIC PETROLEUM acts as operator </w:t>
      </w:r>
      <w:r w:rsidRPr="00FE714A">
        <w:rPr>
          <w:rFonts w:ascii="Arial" w:hAnsi="Arial" w:cs="Arial"/>
          <w:lang w:val="en-US"/>
        </w:rPr>
        <w:t xml:space="preserve">in a </w:t>
      </w:r>
      <w:r>
        <w:rPr>
          <w:rFonts w:ascii="Arial" w:hAnsi="Arial" w:cs="Arial"/>
          <w:lang w:val="en-GB"/>
        </w:rPr>
        <w:t>JV</w:t>
      </w:r>
      <w:r w:rsidRPr="00FE714A">
        <w:rPr>
          <w:rFonts w:ascii="Arial" w:hAnsi="Arial" w:cs="Arial"/>
          <w:lang w:val="en-US"/>
        </w:rPr>
        <w:t>with Edison International SpA and Petroceltic Resources Plc</w:t>
      </w:r>
      <w:r>
        <w:rPr>
          <w:rFonts w:ascii="Arial" w:hAnsi="Arial" w:cs="Arial"/>
          <w:lang w:val="en-US"/>
        </w:rPr>
        <w:t>, e</w:t>
      </w:r>
      <w:r w:rsidRPr="00FE714A">
        <w:rPr>
          <w:rFonts w:ascii="Arial" w:hAnsi="Arial" w:cs="Arial"/>
          <w:lang w:val="en-US"/>
        </w:rPr>
        <w:t xml:space="preserve">xploration </w:t>
      </w:r>
      <w:r>
        <w:rPr>
          <w:rFonts w:ascii="Arial" w:hAnsi="Arial" w:cs="Arial"/>
          <w:lang w:val="en-US"/>
        </w:rPr>
        <w:t>activities have started.</w:t>
      </w:r>
    </w:p>
    <w:p w:rsidR="000B22DF" w:rsidRPr="00AE13FF" w:rsidRDefault="000B22DF" w:rsidP="0072736A">
      <w:pPr>
        <w:pStyle w:val="BlockText"/>
        <w:snapToGrid w:val="0"/>
        <w:spacing w:after="120" w:line="360" w:lineRule="auto"/>
        <w:ind w:left="0" w:right="0" w:firstLine="0"/>
        <w:rPr>
          <w:rFonts w:cs="Arial"/>
          <w:sz w:val="14"/>
          <w:lang w:val="en-US"/>
        </w:rPr>
      </w:pPr>
      <w:bookmarkStart w:id="1" w:name="OLE_LINK1"/>
    </w:p>
    <w:p w:rsidR="000B22DF" w:rsidRDefault="000B22DF" w:rsidP="0072736A">
      <w:pPr>
        <w:pStyle w:val="BlockText"/>
        <w:snapToGrid w:val="0"/>
        <w:spacing w:after="120" w:line="360" w:lineRule="auto"/>
        <w:ind w:left="0" w:right="0" w:firstLine="0"/>
        <w:rPr>
          <w:rFonts w:cs="Arial"/>
          <w:sz w:val="20"/>
          <w:lang w:val="en-US"/>
        </w:rPr>
      </w:pPr>
      <w:r>
        <w:rPr>
          <w:rFonts w:cs="Arial"/>
          <w:sz w:val="20"/>
          <w:lang w:val="en-US"/>
        </w:rPr>
        <w:t>John Costopoulos, Group CEO, commented on 4Q14 performance:</w:t>
      </w:r>
    </w:p>
    <w:p w:rsidR="000B22DF" w:rsidRDefault="000B22DF" w:rsidP="0072736A">
      <w:pPr>
        <w:pStyle w:val="BlockText"/>
        <w:snapToGrid w:val="0"/>
        <w:spacing w:after="120" w:line="360" w:lineRule="auto"/>
        <w:ind w:left="0" w:right="0" w:firstLine="0"/>
        <w:rPr>
          <w:rFonts w:cs="Arial"/>
          <w:i/>
          <w:sz w:val="20"/>
          <w:lang w:val="en-US"/>
        </w:rPr>
      </w:pPr>
      <w:r w:rsidRPr="00D02D33">
        <w:rPr>
          <w:rFonts w:cs="Arial"/>
          <w:i/>
          <w:sz w:val="20"/>
          <w:lang w:val="en-US"/>
        </w:rPr>
        <w:t>“</w:t>
      </w:r>
      <w:r w:rsidRPr="00274607">
        <w:rPr>
          <w:rFonts w:cs="Arial"/>
          <w:i/>
          <w:sz w:val="20"/>
          <w:lang w:val="en-US"/>
        </w:rPr>
        <w:t>In th</w:t>
      </w:r>
      <w:r>
        <w:rPr>
          <w:rFonts w:cs="Arial"/>
          <w:i/>
          <w:sz w:val="20"/>
          <w:lang w:val="en-US"/>
        </w:rPr>
        <w:t>e fourth</w:t>
      </w:r>
      <w:r w:rsidRPr="00274607">
        <w:rPr>
          <w:rFonts w:cs="Arial"/>
          <w:i/>
          <w:sz w:val="20"/>
          <w:lang w:val="en-US"/>
        </w:rPr>
        <w:t xml:space="preserve"> quarter,</w:t>
      </w:r>
      <w:r>
        <w:rPr>
          <w:rFonts w:cs="Arial"/>
          <w:i/>
          <w:sz w:val="20"/>
          <w:lang w:val="en-US"/>
        </w:rPr>
        <w:t xml:space="preserve"> the Group reported strong operating profitability, on better global refining environment and the improved performance of all business units.</w:t>
      </w:r>
    </w:p>
    <w:p w:rsidR="000B22DF" w:rsidRDefault="000B22DF">
      <w:pPr>
        <w:pStyle w:val="BlockText"/>
        <w:snapToGrid w:val="0"/>
        <w:spacing w:after="120" w:line="360" w:lineRule="auto"/>
        <w:ind w:left="0" w:right="0" w:firstLine="0"/>
        <w:rPr>
          <w:rFonts w:cs="Arial"/>
          <w:i/>
          <w:sz w:val="20"/>
          <w:lang w:val="en-US"/>
        </w:rPr>
      </w:pPr>
      <w:r>
        <w:rPr>
          <w:rFonts w:cs="Arial"/>
          <w:i/>
          <w:sz w:val="20"/>
          <w:lang w:val="en-US"/>
        </w:rPr>
        <w:t>During 2014, Hellenic Petroleum realized the benefits of the strategic transformation projects implemented over the last few years such as (a) the upgrade of the refineries, (b) competitiveness</w:t>
      </w:r>
      <w:r>
        <w:rPr>
          <w:rFonts w:cs="Arial"/>
          <w:i/>
          <w:sz w:val="20"/>
          <w:lang w:val="en-GB"/>
        </w:rPr>
        <w:t>improvement</w:t>
      </w:r>
      <w:r>
        <w:rPr>
          <w:rFonts w:cs="Arial"/>
          <w:i/>
          <w:sz w:val="20"/>
          <w:lang w:val="en-US"/>
        </w:rPr>
        <w:t xml:space="preserve"> and (c) retail business model transformation. Indications of this performance are the achievement of the highest ever production volume and exports sales,</w:t>
      </w:r>
      <w:r>
        <w:rPr>
          <w:rFonts w:cs="Arial"/>
          <w:i/>
          <w:sz w:val="20"/>
          <w:lang w:val="en-GB"/>
        </w:rPr>
        <w:t>as well asthe</w:t>
      </w:r>
      <w:r>
        <w:rPr>
          <w:rFonts w:cs="Arial"/>
          <w:i/>
          <w:sz w:val="20"/>
          <w:lang w:val="en-US"/>
        </w:rPr>
        <w:t xml:space="preserve"> over-performance of our refineries vs benchmark margins. Furthermore, in 2014 we successfully completed the refinancing strategy and managed liquidity and credit risks</w:t>
      </w:r>
      <w:r w:rsidRPr="005D6669">
        <w:rPr>
          <w:rFonts w:cs="Arial"/>
          <w:i/>
          <w:sz w:val="20"/>
          <w:lang w:val="en-US"/>
        </w:rPr>
        <w:t>,</w:t>
      </w:r>
      <w:r>
        <w:rPr>
          <w:rFonts w:cs="Arial"/>
          <w:i/>
          <w:sz w:val="20"/>
          <w:lang w:val="en-US"/>
        </w:rPr>
        <w:t xml:space="preserve"> despite the continuous challenges and volatility for Greek corporates.</w:t>
      </w:r>
    </w:p>
    <w:p w:rsidR="000B22DF" w:rsidRDefault="000B22DF" w:rsidP="00AE13FF">
      <w:pPr>
        <w:pStyle w:val="BlockText"/>
        <w:snapToGrid w:val="0"/>
        <w:spacing w:after="120" w:line="360" w:lineRule="auto"/>
        <w:ind w:left="0" w:right="0" w:firstLine="0"/>
        <w:rPr>
          <w:rFonts w:cs="Arial"/>
          <w:i/>
          <w:sz w:val="20"/>
          <w:lang w:val="en-GB"/>
        </w:rPr>
      </w:pPr>
      <w:r>
        <w:rPr>
          <w:rFonts w:cs="Arial"/>
          <w:i/>
          <w:sz w:val="20"/>
          <w:lang w:val="en-GB"/>
        </w:rPr>
        <w:t>In line with all refiners who hold significant inventories, the negative impact of crude oil price affected our otherwise strong results.</w:t>
      </w:r>
    </w:p>
    <w:p w:rsidR="000B22DF" w:rsidRPr="00B0324F" w:rsidRDefault="000B22DF" w:rsidP="00AE13FF">
      <w:pPr>
        <w:pStyle w:val="BlockText"/>
        <w:snapToGrid w:val="0"/>
        <w:spacing w:after="120" w:line="360" w:lineRule="auto"/>
        <w:ind w:left="0" w:right="0" w:firstLine="0"/>
        <w:rPr>
          <w:rFonts w:cs="Arial"/>
          <w:i/>
          <w:sz w:val="20"/>
          <w:lang w:val="en-US"/>
        </w:rPr>
      </w:pPr>
      <w:r w:rsidRPr="00BE4269">
        <w:rPr>
          <w:rFonts w:cs="Arial"/>
          <w:i/>
          <w:sz w:val="20"/>
          <w:lang w:val="en-GB"/>
        </w:rPr>
        <w:t>For 2015, we plan for an equally challenging environment</w:t>
      </w:r>
      <w:r>
        <w:rPr>
          <w:rFonts w:cs="Arial"/>
          <w:i/>
          <w:sz w:val="20"/>
          <w:lang w:val="en-GB"/>
        </w:rPr>
        <w:t>,</w:t>
      </w:r>
      <w:r w:rsidRPr="00BE4269">
        <w:rPr>
          <w:rFonts w:cs="Arial"/>
          <w:i/>
          <w:sz w:val="20"/>
          <w:lang w:val="en-GB"/>
        </w:rPr>
        <w:t xml:space="preserve"> as commodity markets volatility, the start-up of new competitive refineries in</w:t>
      </w:r>
      <w:r>
        <w:rPr>
          <w:rFonts w:cs="Arial"/>
          <w:i/>
          <w:sz w:val="20"/>
          <w:lang w:val="en-GB"/>
        </w:rPr>
        <w:t xml:space="preserve"> the</w:t>
      </w:r>
      <w:r w:rsidRPr="00BE4269">
        <w:rPr>
          <w:rFonts w:cs="Arial"/>
          <w:i/>
          <w:sz w:val="20"/>
          <w:lang w:val="en-GB"/>
        </w:rPr>
        <w:t xml:space="preserve"> </w:t>
      </w:r>
      <w:smartTag w:uri="urn:schemas-microsoft-com:office:smarttags" w:element="place">
        <w:r w:rsidRPr="00BE4269">
          <w:rPr>
            <w:rFonts w:cs="Arial"/>
            <w:i/>
            <w:sz w:val="20"/>
            <w:lang w:val="en-GB"/>
          </w:rPr>
          <w:t>Middle East</w:t>
        </w:r>
      </w:smartTag>
      <w:r w:rsidRPr="00BE4269">
        <w:rPr>
          <w:rFonts w:cs="Arial"/>
          <w:i/>
          <w:sz w:val="20"/>
          <w:lang w:val="en-GB"/>
        </w:rPr>
        <w:t xml:space="preserve"> and uncertainties in the econom</w:t>
      </w:r>
      <w:r>
        <w:rPr>
          <w:rFonts w:cs="Arial"/>
          <w:i/>
          <w:sz w:val="20"/>
          <w:lang w:val="en-GB"/>
        </w:rPr>
        <w:t>y</w:t>
      </w:r>
      <w:r w:rsidRPr="00BE4269">
        <w:rPr>
          <w:rFonts w:cs="Arial"/>
          <w:i/>
          <w:sz w:val="20"/>
          <w:lang w:val="en-GB"/>
        </w:rPr>
        <w:t xml:space="preserve"> are expected to continue. HELLENIC PETROLEUM will </w:t>
      </w:r>
      <w:r>
        <w:rPr>
          <w:rFonts w:cs="Arial"/>
          <w:i/>
          <w:sz w:val="20"/>
          <w:lang w:val="en-GB"/>
        </w:rPr>
        <w:t xml:space="preserve">continue to </w:t>
      </w:r>
      <w:r w:rsidRPr="00BE4269">
        <w:rPr>
          <w:rFonts w:cs="Arial"/>
          <w:i/>
          <w:sz w:val="20"/>
          <w:lang w:val="en-GB"/>
        </w:rPr>
        <w:t xml:space="preserve">focus on </w:t>
      </w:r>
      <w:r>
        <w:rPr>
          <w:rFonts w:cs="Arial"/>
          <w:i/>
          <w:sz w:val="20"/>
          <w:lang w:val="en-GB"/>
        </w:rPr>
        <w:t>competitiveness, operational excellence and prudent management of business and financial risk</w:t>
      </w:r>
      <w:r w:rsidRPr="000F6E02">
        <w:rPr>
          <w:rFonts w:cs="Arial"/>
          <w:i/>
          <w:sz w:val="20"/>
          <w:lang w:val="en-US"/>
        </w:rPr>
        <w:t>,</w:t>
      </w:r>
      <w:r>
        <w:rPr>
          <w:rFonts w:cs="Arial"/>
          <w:i/>
          <w:sz w:val="20"/>
          <w:lang w:val="en-GB"/>
        </w:rPr>
        <w:t xml:space="preserve"> to deliver sustainable benefits for our shareholders, personnel and all stakeholders</w:t>
      </w:r>
      <w:r w:rsidRPr="00BE4269">
        <w:rPr>
          <w:rFonts w:cs="Arial"/>
          <w:i/>
          <w:sz w:val="20"/>
          <w:lang w:val="en-GB"/>
        </w:rPr>
        <w:t>.</w:t>
      </w:r>
      <w:r w:rsidRPr="00BE4269">
        <w:rPr>
          <w:rFonts w:cs="Arial"/>
          <w:i/>
          <w:sz w:val="20"/>
          <w:lang w:val="en-US"/>
        </w:rPr>
        <w:t>”</w:t>
      </w:r>
    </w:p>
    <w:p w:rsidR="000B22DF" w:rsidRDefault="000B22DF" w:rsidP="00996804">
      <w:pPr>
        <w:pStyle w:val="BlockText"/>
        <w:snapToGrid w:val="0"/>
        <w:spacing w:after="120" w:line="360" w:lineRule="auto"/>
        <w:ind w:left="0" w:right="0" w:firstLine="0"/>
        <w:rPr>
          <w:rFonts w:cs="Arial"/>
          <w:i/>
          <w:sz w:val="20"/>
          <w:lang w:val="en-US"/>
        </w:rPr>
      </w:pPr>
    </w:p>
    <w:bookmarkEnd w:id="1"/>
    <w:p w:rsidR="000B22DF" w:rsidRPr="0044377B" w:rsidRDefault="000B22DF" w:rsidP="00996804">
      <w:pPr>
        <w:pStyle w:val="BlockText"/>
        <w:snapToGrid w:val="0"/>
        <w:spacing w:after="120" w:line="360" w:lineRule="auto"/>
        <w:ind w:left="0" w:right="0" w:firstLine="0"/>
        <w:rPr>
          <w:rFonts w:cs="Arial"/>
          <w:sz w:val="20"/>
          <w:lang w:val="en-GB"/>
        </w:rPr>
      </w:pPr>
      <w:r w:rsidRPr="0044377B">
        <w:rPr>
          <w:rFonts w:cs="Arial"/>
          <w:sz w:val="20"/>
          <w:lang w:val="en-GB"/>
        </w:rPr>
        <w:t xml:space="preserve">Key highlights and contribution for each of the main business units </w:t>
      </w:r>
      <w:r>
        <w:rPr>
          <w:rFonts w:cs="Arial"/>
          <w:sz w:val="20"/>
          <w:lang w:val="en-GB"/>
        </w:rPr>
        <w:t xml:space="preserve">in 4Q14 </w:t>
      </w:r>
      <w:r w:rsidRPr="0044377B">
        <w:rPr>
          <w:rFonts w:cs="Arial"/>
          <w:sz w:val="20"/>
          <w:lang w:val="en-GB"/>
        </w:rPr>
        <w:t>were:</w:t>
      </w:r>
    </w:p>
    <w:p w:rsidR="000B22DF" w:rsidRPr="00324193" w:rsidRDefault="000B22DF" w:rsidP="00996804">
      <w:pPr>
        <w:pStyle w:val="BlockText"/>
        <w:snapToGrid w:val="0"/>
        <w:spacing w:after="120" w:line="360" w:lineRule="auto"/>
        <w:ind w:left="0" w:right="0" w:firstLine="0"/>
        <w:rPr>
          <w:rFonts w:cs="Arial"/>
          <w:b/>
          <w:sz w:val="14"/>
          <w:u w:val="single"/>
          <w:lang w:val="en-GB"/>
        </w:rPr>
      </w:pPr>
    </w:p>
    <w:p w:rsidR="000B22DF" w:rsidRPr="00FB6D01" w:rsidRDefault="000B22DF" w:rsidP="0060081D">
      <w:pPr>
        <w:pStyle w:val="BlockText"/>
        <w:snapToGrid w:val="0"/>
        <w:spacing w:after="120" w:line="360" w:lineRule="auto"/>
        <w:ind w:left="0" w:right="0" w:firstLine="0"/>
        <w:rPr>
          <w:rFonts w:cs="Arial"/>
          <w:b/>
          <w:sz w:val="20"/>
          <w:u w:val="single"/>
          <w:lang w:val="en-GB"/>
        </w:rPr>
      </w:pPr>
      <w:r w:rsidRPr="00FB6D01">
        <w:rPr>
          <w:rFonts w:cs="Arial"/>
          <w:b/>
          <w:sz w:val="20"/>
          <w:u w:val="single"/>
          <w:lang w:val="en-GB"/>
        </w:rPr>
        <w:t>REFINING, SUPPLY &amp; TRADING</w:t>
      </w:r>
    </w:p>
    <w:p w:rsidR="000B22DF" w:rsidRPr="00D20E7F" w:rsidRDefault="000B22DF" w:rsidP="0060081D">
      <w:pPr>
        <w:pStyle w:val="BlockText"/>
        <w:numPr>
          <w:ilvl w:val="0"/>
          <w:numId w:val="3"/>
        </w:numPr>
        <w:snapToGrid w:val="0"/>
        <w:spacing w:after="120" w:line="360" w:lineRule="auto"/>
        <w:ind w:right="0"/>
        <w:rPr>
          <w:rFonts w:cs="Arial"/>
          <w:sz w:val="20"/>
          <w:lang w:val="en-GB"/>
        </w:rPr>
      </w:pPr>
      <w:r>
        <w:rPr>
          <w:rFonts w:cs="Arial"/>
          <w:sz w:val="20"/>
          <w:lang w:val="en-GB"/>
        </w:rPr>
        <w:t xml:space="preserve">Domestic Refining, Supply &amp; Trading4Q14 </w:t>
      </w:r>
      <w:r w:rsidRPr="00235D63">
        <w:rPr>
          <w:rFonts w:cs="Arial"/>
          <w:sz w:val="20"/>
          <w:lang w:val="en-GB"/>
        </w:rPr>
        <w:t>Adjusted EBITDA</w:t>
      </w:r>
      <w:r>
        <w:rPr>
          <w:rFonts w:cs="Arial"/>
          <w:sz w:val="20"/>
          <w:lang w:val="en-GB"/>
        </w:rPr>
        <w:t xml:space="preserve"> </w:t>
      </w:r>
      <w:r w:rsidRPr="00235D63">
        <w:rPr>
          <w:rFonts w:cs="Arial"/>
          <w:sz w:val="20"/>
          <w:lang w:val="en-GB"/>
        </w:rPr>
        <w:t>at €</w:t>
      </w:r>
      <w:r>
        <w:rPr>
          <w:rFonts w:cs="Arial"/>
          <w:sz w:val="20"/>
          <w:lang w:val="en-GB"/>
        </w:rPr>
        <w:t>133</w:t>
      </w:r>
      <w:r w:rsidRPr="00235D63">
        <w:rPr>
          <w:rFonts w:cs="Arial"/>
          <w:sz w:val="20"/>
          <w:lang w:val="en-GB"/>
        </w:rPr>
        <w:t>m (</w:t>
      </w:r>
      <w:r>
        <w:rPr>
          <w:rFonts w:cs="Arial"/>
          <w:sz w:val="20"/>
          <w:lang w:val="en-GB"/>
        </w:rPr>
        <w:t xml:space="preserve">4Q13: </w:t>
      </w:r>
      <w:r w:rsidRPr="00235D63">
        <w:rPr>
          <w:rFonts w:cs="Arial"/>
          <w:sz w:val="20"/>
          <w:lang w:val="en-GB"/>
        </w:rPr>
        <w:t>€</w:t>
      </w:r>
      <w:r w:rsidRPr="00D20E7F">
        <w:rPr>
          <w:rFonts w:cs="Arial"/>
          <w:sz w:val="20"/>
          <w:lang w:val="en-US"/>
        </w:rPr>
        <w:t>22</w:t>
      </w:r>
      <w:r w:rsidRPr="00235D63">
        <w:rPr>
          <w:rFonts w:cs="Arial"/>
          <w:sz w:val="20"/>
          <w:lang w:val="en-GB"/>
        </w:rPr>
        <w:t>m</w:t>
      </w:r>
      <w:r>
        <w:rPr>
          <w:rFonts w:cs="Arial"/>
          <w:sz w:val="20"/>
          <w:lang w:val="en-GB"/>
        </w:rPr>
        <w:t>).</w:t>
      </w:r>
    </w:p>
    <w:p w:rsidR="000B22DF" w:rsidRDefault="000B22DF" w:rsidP="00D20E7F">
      <w:pPr>
        <w:pStyle w:val="BlockText"/>
        <w:numPr>
          <w:ilvl w:val="0"/>
          <w:numId w:val="3"/>
        </w:numPr>
        <w:snapToGrid w:val="0"/>
        <w:spacing w:after="120" w:line="360" w:lineRule="auto"/>
        <w:rPr>
          <w:rFonts w:cs="Arial"/>
          <w:sz w:val="20"/>
          <w:lang w:val="en-GB"/>
        </w:rPr>
      </w:pPr>
      <w:r>
        <w:rPr>
          <w:rFonts w:cs="Arial"/>
          <w:sz w:val="20"/>
          <w:lang w:val="en-GB"/>
        </w:rPr>
        <w:t>Production exceeded 4 million tones for the first time on record, on high utilisation, with middle distillates yield at 54%.</w:t>
      </w:r>
    </w:p>
    <w:p w:rsidR="000B22DF" w:rsidRDefault="000B22DF" w:rsidP="00FF05BE">
      <w:pPr>
        <w:pStyle w:val="BlockText"/>
        <w:numPr>
          <w:ilvl w:val="0"/>
          <w:numId w:val="3"/>
        </w:numPr>
        <w:snapToGrid w:val="0"/>
        <w:spacing w:after="120" w:line="360" w:lineRule="auto"/>
        <w:ind w:right="0"/>
        <w:rPr>
          <w:rFonts w:cs="Arial"/>
          <w:sz w:val="20"/>
          <w:lang w:val="en-GB"/>
        </w:rPr>
      </w:pPr>
      <w:r>
        <w:rPr>
          <w:rFonts w:cs="Arial"/>
          <w:sz w:val="20"/>
          <w:lang w:val="en-GB"/>
        </w:rPr>
        <w:t>Domestic market s</w:t>
      </w:r>
      <w:r w:rsidRPr="00D20E7F">
        <w:rPr>
          <w:rFonts w:cs="Arial"/>
          <w:sz w:val="20"/>
          <w:lang w:val="en-GB"/>
        </w:rPr>
        <w:t xml:space="preserve">ales increased </w:t>
      </w:r>
      <w:r>
        <w:rPr>
          <w:rFonts w:cs="Arial"/>
          <w:sz w:val="20"/>
          <w:lang w:val="en-GB"/>
        </w:rPr>
        <w:t>by 11</w:t>
      </w:r>
      <w:r w:rsidRPr="00D20E7F">
        <w:rPr>
          <w:rFonts w:cs="Arial"/>
          <w:sz w:val="20"/>
          <w:lang w:val="en-GB"/>
        </w:rPr>
        <w:t>%</w:t>
      </w:r>
      <w:r>
        <w:rPr>
          <w:rFonts w:cs="Arial"/>
          <w:sz w:val="20"/>
          <w:lang w:val="en-GB"/>
        </w:rPr>
        <w:t>, while exports reached a record high of 2.1 million ton</w:t>
      </w:r>
      <w:r w:rsidRPr="00D20E7F">
        <w:rPr>
          <w:rFonts w:cs="Arial"/>
          <w:sz w:val="20"/>
          <w:lang w:val="en-GB"/>
        </w:rPr>
        <w:t xml:space="preserve">es, </w:t>
      </w:r>
      <w:r>
        <w:rPr>
          <w:rFonts w:cs="Arial"/>
          <w:sz w:val="20"/>
          <w:lang w:val="en-US"/>
        </w:rPr>
        <w:t>leading total sales at 4 million tones</w:t>
      </w:r>
      <w:r>
        <w:rPr>
          <w:rFonts w:cs="Arial"/>
          <w:sz w:val="20"/>
          <w:lang w:val="en-GB"/>
        </w:rPr>
        <w:t>.</w:t>
      </w:r>
    </w:p>
    <w:p w:rsidR="000B22DF" w:rsidRPr="00FF05BE" w:rsidRDefault="000B22DF" w:rsidP="00FF05BE">
      <w:pPr>
        <w:pStyle w:val="BlockText"/>
        <w:snapToGrid w:val="0"/>
        <w:spacing w:after="120" w:line="360" w:lineRule="auto"/>
        <w:ind w:left="360" w:right="0" w:firstLine="0"/>
        <w:rPr>
          <w:rFonts w:cs="Arial"/>
          <w:sz w:val="20"/>
          <w:lang w:val="en-GB"/>
        </w:rPr>
      </w:pPr>
    </w:p>
    <w:p w:rsidR="000B22DF" w:rsidRPr="00FB6D01" w:rsidRDefault="000B22DF" w:rsidP="0060081D">
      <w:pPr>
        <w:pStyle w:val="BlockText"/>
        <w:snapToGrid w:val="0"/>
        <w:spacing w:after="120" w:line="360" w:lineRule="auto"/>
        <w:ind w:left="0" w:right="0" w:firstLine="0"/>
        <w:rPr>
          <w:rFonts w:cs="Arial"/>
          <w:b/>
          <w:sz w:val="20"/>
          <w:u w:val="single"/>
          <w:lang w:val="en-GB"/>
        </w:rPr>
      </w:pPr>
      <w:r w:rsidRPr="00FB6D01">
        <w:rPr>
          <w:rFonts w:cs="Arial"/>
          <w:b/>
          <w:sz w:val="20"/>
          <w:u w:val="single"/>
          <w:lang w:val="en-GB"/>
        </w:rPr>
        <w:t>DOMESTIC MARKETING</w:t>
      </w:r>
    </w:p>
    <w:p w:rsidR="000B22DF" w:rsidRPr="00FF05BE" w:rsidRDefault="000B22DF" w:rsidP="00FF05BE">
      <w:pPr>
        <w:pStyle w:val="BlockText"/>
        <w:numPr>
          <w:ilvl w:val="0"/>
          <w:numId w:val="4"/>
        </w:numPr>
        <w:snapToGrid w:val="0"/>
        <w:spacing w:after="120" w:line="360" w:lineRule="auto"/>
        <w:rPr>
          <w:rFonts w:cs="Arial"/>
          <w:sz w:val="20"/>
          <w:lang w:val="en-GB"/>
        </w:rPr>
      </w:pPr>
      <w:r>
        <w:rPr>
          <w:rFonts w:cs="Arial"/>
          <w:sz w:val="20"/>
          <w:lang w:val="en-GB"/>
        </w:rPr>
        <w:t>Domestic Marketing sales volumes were 9</w:t>
      </w:r>
      <w:r w:rsidRPr="00FF05BE">
        <w:rPr>
          <w:rFonts w:cs="Arial"/>
          <w:sz w:val="20"/>
          <w:lang w:val="en-GB"/>
        </w:rPr>
        <w:t>%</w:t>
      </w:r>
      <w:r>
        <w:rPr>
          <w:rFonts w:cs="Arial"/>
          <w:sz w:val="20"/>
          <w:lang w:val="en-GB"/>
        </w:rPr>
        <w:t xml:space="preserve"> higher</w:t>
      </w:r>
      <w:r w:rsidRPr="00FF05BE">
        <w:rPr>
          <w:rFonts w:cs="Arial"/>
          <w:sz w:val="20"/>
          <w:lang w:val="en-GB"/>
        </w:rPr>
        <w:t xml:space="preserve">, </w:t>
      </w:r>
      <w:r>
        <w:rPr>
          <w:rFonts w:cs="Arial"/>
          <w:sz w:val="20"/>
          <w:lang w:val="en-GB"/>
        </w:rPr>
        <w:t xml:space="preserve">mainly driven by heating gasoil and auto diesel. 4Q14 Adjusted </w:t>
      </w:r>
      <w:r w:rsidRPr="00FF05BE">
        <w:rPr>
          <w:rFonts w:cs="Arial"/>
          <w:sz w:val="20"/>
          <w:lang w:val="en-GB"/>
        </w:rPr>
        <w:t xml:space="preserve">EBITDA </w:t>
      </w:r>
      <w:r>
        <w:rPr>
          <w:rFonts w:cs="Arial"/>
          <w:sz w:val="20"/>
          <w:lang w:val="en-GB"/>
        </w:rPr>
        <w:t>at</w:t>
      </w:r>
      <w:r w:rsidRPr="00235D63">
        <w:rPr>
          <w:rFonts w:cs="Arial"/>
          <w:sz w:val="20"/>
          <w:lang w:val="en-GB"/>
        </w:rPr>
        <w:t>€</w:t>
      </w:r>
      <w:r>
        <w:rPr>
          <w:rFonts w:cs="Arial"/>
          <w:sz w:val="20"/>
          <w:lang w:val="en-GB"/>
        </w:rPr>
        <w:t>2</w:t>
      </w:r>
      <w:r w:rsidRPr="00235D63">
        <w:rPr>
          <w:rFonts w:cs="Arial"/>
          <w:sz w:val="20"/>
          <w:lang w:val="en-GB"/>
        </w:rPr>
        <w:t xml:space="preserve">m </w:t>
      </w:r>
      <w:r>
        <w:rPr>
          <w:rFonts w:cs="Arial"/>
          <w:sz w:val="20"/>
          <w:lang w:val="en-GB"/>
        </w:rPr>
        <w:t xml:space="preserve">(4Q13: </w:t>
      </w:r>
      <w:r w:rsidRPr="005E5A10">
        <w:rPr>
          <w:sz w:val="20"/>
          <w:lang w:val="en-US"/>
        </w:rPr>
        <w:t>€1</w:t>
      </w:r>
      <w:r>
        <w:rPr>
          <w:sz w:val="20"/>
          <w:lang w:val="en-GB"/>
        </w:rPr>
        <w:t>m</w:t>
      </w:r>
      <w:r>
        <w:rPr>
          <w:rFonts w:cs="Arial"/>
          <w:sz w:val="20"/>
          <w:lang w:val="en-GB"/>
        </w:rPr>
        <w:t>).</w:t>
      </w:r>
    </w:p>
    <w:p w:rsidR="000B22DF" w:rsidRPr="00FF05BE" w:rsidRDefault="000B22DF" w:rsidP="00FF05BE">
      <w:pPr>
        <w:pStyle w:val="BlockText"/>
        <w:numPr>
          <w:ilvl w:val="0"/>
          <w:numId w:val="4"/>
        </w:numPr>
        <w:snapToGrid w:val="0"/>
        <w:spacing w:after="120" w:line="360" w:lineRule="auto"/>
        <w:ind w:right="0"/>
        <w:rPr>
          <w:rFonts w:cs="Arial"/>
          <w:sz w:val="20"/>
          <w:lang w:val="en-GB"/>
        </w:rPr>
      </w:pPr>
      <w:r>
        <w:rPr>
          <w:rFonts w:cs="Arial"/>
          <w:sz w:val="20"/>
          <w:lang w:val="en-GB"/>
        </w:rPr>
        <w:t>Further i</w:t>
      </w:r>
      <w:r w:rsidRPr="00FF05BE">
        <w:rPr>
          <w:rFonts w:cs="Arial"/>
          <w:sz w:val="20"/>
          <w:lang w:val="en-GB"/>
        </w:rPr>
        <w:t xml:space="preserve">mprovement </w:t>
      </w:r>
      <w:r>
        <w:rPr>
          <w:rFonts w:cs="Arial"/>
          <w:sz w:val="20"/>
          <w:lang w:val="en-GB"/>
        </w:rPr>
        <w:t xml:space="preserve">in market </w:t>
      </w:r>
      <w:r w:rsidRPr="00FF05BE">
        <w:rPr>
          <w:rFonts w:cs="Arial"/>
          <w:sz w:val="20"/>
          <w:lang w:val="en-GB"/>
        </w:rPr>
        <w:t xml:space="preserve">shares </w:t>
      </w:r>
      <w:r>
        <w:rPr>
          <w:rFonts w:cs="Arial"/>
          <w:sz w:val="20"/>
          <w:lang w:val="en-GB"/>
        </w:rPr>
        <w:t xml:space="preserve">continued, supported by our </w:t>
      </w:r>
      <w:smartTag w:uri="urn:schemas-microsoft-com:office:smarttags" w:element="place">
        <w:smartTag w:uri="urn:schemas-microsoft-com:office:smarttags" w:element="City">
          <w:r>
            <w:rPr>
              <w:rFonts w:cs="Arial"/>
              <w:sz w:val="20"/>
              <w:lang w:val="en-GB"/>
            </w:rPr>
            <w:t>COMO</w:t>
          </w:r>
        </w:smartTag>
      </w:smartTag>
      <w:r>
        <w:rPr>
          <w:rFonts w:cs="Arial"/>
          <w:sz w:val="20"/>
          <w:lang w:val="en-GB"/>
        </w:rPr>
        <w:t xml:space="preserve"> network expansion (139 petrol stations end-2014) and successful introduction of differentiated products -</w:t>
      </w:r>
      <w:r w:rsidRPr="00FF05BE">
        <w:rPr>
          <w:rFonts w:cs="Arial"/>
          <w:sz w:val="20"/>
          <w:lang w:val="en-GB"/>
        </w:rPr>
        <w:t xml:space="preserve"> BP ULTIMATE DIESEL </w:t>
      </w:r>
      <w:r>
        <w:rPr>
          <w:rFonts w:cs="Arial"/>
          <w:sz w:val="20"/>
          <w:lang w:val="en-GB"/>
        </w:rPr>
        <w:t>and EKO AVIO DIESEL</w:t>
      </w:r>
      <w:r w:rsidRPr="00FF05BE">
        <w:rPr>
          <w:rFonts w:cs="Arial"/>
          <w:sz w:val="20"/>
          <w:lang w:val="en-GB"/>
        </w:rPr>
        <w:t>.</w:t>
      </w:r>
    </w:p>
    <w:p w:rsidR="000B22DF" w:rsidRPr="00324193" w:rsidRDefault="000B22DF" w:rsidP="0060081D">
      <w:pPr>
        <w:pStyle w:val="BlockText"/>
        <w:snapToGrid w:val="0"/>
        <w:spacing w:after="120" w:line="360" w:lineRule="auto"/>
        <w:ind w:left="360" w:right="0" w:firstLine="0"/>
        <w:rPr>
          <w:rFonts w:cs="Arial"/>
          <w:sz w:val="10"/>
          <w:lang w:val="en-GB"/>
        </w:rPr>
      </w:pPr>
    </w:p>
    <w:p w:rsidR="000B22DF" w:rsidRPr="00FB6D01" w:rsidRDefault="000B22DF" w:rsidP="0060081D">
      <w:pPr>
        <w:pStyle w:val="BlockText"/>
        <w:snapToGrid w:val="0"/>
        <w:spacing w:after="120" w:line="360" w:lineRule="auto"/>
        <w:ind w:left="0" w:right="0" w:firstLine="0"/>
        <w:rPr>
          <w:rFonts w:cs="Arial"/>
          <w:b/>
          <w:sz w:val="20"/>
          <w:u w:val="single"/>
          <w:lang w:val="en-GB"/>
        </w:rPr>
      </w:pPr>
      <w:r w:rsidRPr="00FB6D01">
        <w:rPr>
          <w:rFonts w:cs="Arial"/>
          <w:b/>
          <w:sz w:val="20"/>
          <w:u w:val="single"/>
          <w:lang w:val="en-GB"/>
        </w:rPr>
        <w:t>INTERNATIONAL MARKETING</w:t>
      </w:r>
    </w:p>
    <w:p w:rsidR="000B22DF" w:rsidRDefault="000B22DF" w:rsidP="00471C59">
      <w:pPr>
        <w:pStyle w:val="BlockText"/>
        <w:numPr>
          <w:ilvl w:val="0"/>
          <w:numId w:val="5"/>
        </w:numPr>
        <w:snapToGrid w:val="0"/>
        <w:spacing w:after="120" w:line="360" w:lineRule="auto"/>
        <w:rPr>
          <w:rFonts w:cs="Arial"/>
          <w:sz w:val="20"/>
          <w:lang w:val="en-GB"/>
        </w:rPr>
      </w:pPr>
      <w:r w:rsidRPr="0070082D">
        <w:rPr>
          <w:rFonts w:cs="Arial"/>
          <w:sz w:val="20"/>
          <w:lang w:val="en-GB"/>
        </w:rPr>
        <w:t xml:space="preserve">International Marketing </w:t>
      </w:r>
      <w:r w:rsidRPr="00471C59">
        <w:rPr>
          <w:rFonts w:cs="Arial"/>
          <w:sz w:val="20"/>
          <w:lang w:val="en-GB"/>
        </w:rPr>
        <w:t>sales volume</w:t>
      </w:r>
      <w:r>
        <w:rPr>
          <w:rFonts w:cs="Arial"/>
          <w:sz w:val="20"/>
          <w:lang w:val="en-GB"/>
        </w:rPr>
        <w:t xml:space="preserve">s </w:t>
      </w:r>
      <w:r w:rsidRPr="00471C59">
        <w:rPr>
          <w:rFonts w:cs="Arial"/>
          <w:sz w:val="20"/>
          <w:lang w:val="en-GB"/>
        </w:rPr>
        <w:t xml:space="preserve">increased significantly </w:t>
      </w:r>
      <w:r>
        <w:rPr>
          <w:rFonts w:cs="Arial"/>
          <w:sz w:val="20"/>
          <w:lang w:val="en-GB"/>
        </w:rPr>
        <w:t>by 17</w:t>
      </w:r>
      <w:r w:rsidRPr="00471C59">
        <w:rPr>
          <w:rFonts w:cs="Arial"/>
          <w:sz w:val="20"/>
          <w:lang w:val="en-GB"/>
        </w:rPr>
        <w:t xml:space="preserve">%, mainly </w:t>
      </w:r>
      <w:r>
        <w:rPr>
          <w:rFonts w:cs="Arial"/>
          <w:sz w:val="20"/>
          <w:lang w:val="en-GB"/>
        </w:rPr>
        <w:t xml:space="preserve">on the back of </w:t>
      </w:r>
      <w:r w:rsidRPr="00471C59">
        <w:rPr>
          <w:rFonts w:cs="Arial"/>
          <w:sz w:val="20"/>
          <w:lang w:val="en-GB"/>
        </w:rPr>
        <w:t xml:space="preserve">Thessaloniki refinery exports </w:t>
      </w:r>
      <w:r>
        <w:rPr>
          <w:rFonts w:cs="Arial"/>
          <w:sz w:val="20"/>
          <w:lang w:val="en-GB"/>
        </w:rPr>
        <w:t>to Bulgaria wholesale market.</w:t>
      </w:r>
    </w:p>
    <w:p w:rsidR="000B22DF" w:rsidRPr="00324193" w:rsidRDefault="000B22DF" w:rsidP="0083708B">
      <w:pPr>
        <w:pStyle w:val="BlockText"/>
        <w:numPr>
          <w:ilvl w:val="0"/>
          <w:numId w:val="5"/>
        </w:numPr>
        <w:snapToGrid w:val="0"/>
        <w:spacing w:after="120" w:line="360" w:lineRule="auto"/>
        <w:rPr>
          <w:rFonts w:cs="Arial"/>
          <w:b/>
          <w:sz w:val="10"/>
          <w:u w:val="single"/>
          <w:lang w:val="en-GB"/>
        </w:rPr>
      </w:pPr>
      <w:r>
        <w:rPr>
          <w:rFonts w:cs="Arial"/>
          <w:sz w:val="20"/>
          <w:lang w:val="en-GB"/>
        </w:rPr>
        <w:t>Adjusted</w:t>
      </w:r>
      <w:r w:rsidRPr="0070082D">
        <w:rPr>
          <w:rFonts w:cs="Arial"/>
          <w:sz w:val="20"/>
          <w:lang w:val="en-GB"/>
        </w:rPr>
        <w:t xml:space="preserve"> EBITDA </w:t>
      </w:r>
      <w:r>
        <w:rPr>
          <w:rFonts w:cs="Arial"/>
          <w:sz w:val="20"/>
          <w:lang w:val="en-GB"/>
        </w:rPr>
        <w:t>came at</w:t>
      </w:r>
      <w:r w:rsidRPr="00235D63">
        <w:rPr>
          <w:rFonts w:cs="Arial"/>
          <w:sz w:val="20"/>
          <w:lang w:val="en-GB"/>
        </w:rPr>
        <w:t>€</w:t>
      </w:r>
      <w:r>
        <w:rPr>
          <w:rFonts w:cs="Arial"/>
          <w:sz w:val="20"/>
          <w:lang w:val="en-GB"/>
        </w:rPr>
        <w:t>13m (+19%) with full year contribution exceeding 12% of total Group results.</w:t>
      </w:r>
    </w:p>
    <w:p w:rsidR="000B22DF" w:rsidRDefault="000B22DF" w:rsidP="0060081D">
      <w:pPr>
        <w:pStyle w:val="BlockText"/>
        <w:snapToGrid w:val="0"/>
        <w:spacing w:after="120" w:line="360" w:lineRule="auto"/>
        <w:ind w:left="0" w:right="0" w:firstLine="0"/>
        <w:rPr>
          <w:rFonts w:cs="Arial"/>
          <w:b/>
          <w:sz w:val="20"/>
          <w:u w:val="single"/>
          <w:lang w:val="en-GB"/>
        </w:rPr>
      </w:pPr>
    </w:p>
    <w:p w:rsidR="000B22DF" w:rsidRPr="00EE62DE" w:rsidRDefault="000B22DF" w:rsidP="0060081D">
      <w:pPr>
        <w:pStyle w:val="BlockText"/>
        <w:snapToGrid w:val="0"/>
        <w:spacing w:after="120" w:line="360" w:lineRule="auto"/>
        <w:ind w:left="0" w:right="0" w:firstLine="0"/>
        <w:rPr>
          <w:rFonts w:cs="Arial"/>
          <w:b/>
          <w:sz w:val="20"/>
          <w:u w:val="single"/>
          <w:lang w:val="en-GB"/>
        </w:rPr>
      </w:pPr>
      <w:r w:rsidRPr="00EE62DE">
        <w:rPr>
          <w:rFonts w:cs="Arial"/>
          <w:b/>
          <w:sz w:val="20"/>
          <w:u w:val="single"/>
          <w:lang w:val="en-GB"/>
        </w:rPr>
        <w:t>PETROCHEMICALS</w:t>
      </w:r>
    </w:p>
    <w:p w:rsidR="000B22DF" w:rsidRPr="00EE62DE" w:rsidRDefault="000B22DF" w:rsidP="0070082D">
      <w:pPr>
        <w:pStyle w:val="BlockText"/>
        <w:numPr>
          <w:ilvl w:val="0"/>
          <w:numId w:val="4"/>
        </w:numPr>
        <w:snapToGrid w:val="0"/>
        <w:spacing w:after="120" w:line="360" w:lineRule="auto"/>
        <w:ind w:right="0"/>
        <w:rPr>
          <w:rFonts w:cs="Arial"/>
          <w:sz w:val="20"/>
          <w:lang w:val="en-GB"/>
        </w:rPr>
      </w:pPr>
      <w:r>
        <w:rPr>
          <w:rFonts w:cs="Arial"/>
          <w:sz w:val="20"/>
          <w:lang w:val="en-GB"/>
        </w:rPr>
        <w:t>Strong PP margins, record</w:t>
      </w:r>
      <w:r w:rsidRPr="0070082D">
        <w:rPr>
          <w:rFonts w:cs="Arial"/>
          <w:sz w:val="20"/>
          <w:lang w:val="en-GB"/>
        </w:rPr>
        <w:t xml:space="preserve"> high propylene production at Aspropyrgo</w:t>
      </w:r>
      <w:r>
        <w:rPr>
          <w:rFonts w:cs="Arial"/>
          <w:sz w:val="20"/>
          <w:lang w:val="en-GB"/>
        </w:rPr>
        <w:t>s</w:t>
      </w:r>
      <w:r w:rsidRPr="0070082D">
        <w:rPr>
          <w:rFonts w:cs="Arial"/>
          <w:sz w:val="20"/>
          <w:lang w:val="en-GB"/>
        </w:rPr>
        <w:t xml:space="preserve"> refinery and </w:t>
      </w:r>
      <w:r>
        <w:rPr>
          <w:rFonts w:cs="Arial"/>
          <w:sz w:val="20"/>
          <w:lang w:val="en-GB"/>
        </w:rPr>
        <w:t>cost control</w:t>
      </w:r>
      <w:r w:rsidRPr="0070082D">
        <w:rPr>
          <w:rFonts w:cs="Arial"/>
          <w:sz w:val="20"/>
          <w:lang w:val="en-GB"/>
        </w:rPr>
        <w:t xml:space="preserve"> led </w:t>
      </w:r>
      <w:r>
        <w:rPr>
          <w:rFonts w:cs="Arial"/>
          <w:sz w:val="20"/>
          <w:lang w:val="en-GB"/>
        </w:rPr>
        <w:t xml:space="preserve">to strongest ever quarterly Adjusted </w:t>
      </w:r>
      <w:r w:rsidRPr="0070082D">
        <w:rPr>
          <w:rFonts w:cs="Arial"/>
          <w:sz w:val="20"/>
          <w:lang w:val="en-GB"/>
        </w:rPr>
        <w:t xml:space="preserve">EBITDA </w:t>
      </w:r>
      <w:r>
        <w:rPr>
          <w:rFonts w:cs="Arial"/>
          <w:sz w:val="20"/>
          <w:lang w:val="en-GB"/>
        </w:rPr>
        <w:t xml:space="preserve">of </w:t>
      </w:r>
      <w:r w:rsidRPr="00023270">
        <w:rPr>
          <w:rFonts w:cs="Arial"/>
          <w:sz w:val="20"/>
          <w:lang w:val="en-GB"/>
        </w:rPr>
        <w:t>€</w:t>
      </w:r>
      <w:r>
        <w:rPr>
          <w:rFonts w:cs="Arial"/>
          <w:sz w:val="20"/>
          <w:lang w:val="en-GB"/>
        </w:rPr>
        <w:t>26</w:t>
      </w:r>
      <w:r w:rsidRPr="00023270">
        <w:rPr>
          <w:rFonts w:cs="Arial"/>
          <w:sz w:val="20"/>
          <w:lang w:val="en-GB"/>
        </w:rPr>
        <w:t>m</w:t>
      </w:r>
      <w:r>
        <w:rPr>
          <w:rFonts w:cs="Arial"/>
          <w:sz w:val="20"/>
          <w:lang w:val="en-GB"/>
        </w:rPr>
        <w:t xml:space="preserve"> (4Q13: </w:t>
      </w:r>
      <w:r w:rsidRPr="0083708B">
        <w:rPr>
          <w:sz w:val="20"/>
          <w:lang w:val="en-US"/>
        </w:rPr>
        <w:t>€11</w:t>
      </w:r>
      <w:r>
        <w:rPr>
          <w:sz w:val="20"/>
          <w:lang w:val="en-US"/>
        </w:rPr>
        <w:t>m</w:t>
      </w:r>
      <w:r>
        <w:rPr>
          <w:rFonts w:cs="Arial"/>
          <w:sz w:val="20"/>
          <w:lang w:val="en-GB"/>
        </w:rPr>
        <w:t>).</w:t>
      </w:r>
    </w:p>
    <w:p w:rsidR="000B22DF" w:rsidRPr="00324193" w:rsidRDefault="000B22DF" w:rsidP="0060081D">
      <w:pPr>
        <w:pStyle w:val="BlockText"/>
        <w:snapToGrid w:val="0"/>
        <w:spacing w:after="120" w:line="360" w:lineRule="auto"/>
        <w:ind w:left="0" w:right="0" w:firstLine="0"/>
        <w:rPr>
          <w:rFonts w:cs="Arial"/>
          <w:b/>
          <w:sz w:val="10"/>
          <w:u w:val="single"/>
          <w:lang w:val="en-GB"/>
        </w:rPr>
      </w:pPr>
    </w:p>
    <w:p w:rsidR="000B22DF" w:rsidRDefault="000B22DF" w:rsidP="0060081D">
      <w:pPr>
        <w:pStyle w:val="BlockText"/>
        <w:snapToGrid w:val="0"/>
        <w:spacing w:after="120" w:line="360" w:lineRule="auto"/>
        <w:ind w:left="0" w:right="0" w:firstLine="0"/>
        <w:rPr>
          <w:rFonts w:cs="Arial"/>
          <w:b/>
          <w:sz w:val="20"/>
          <w:u w:val="single"/>
          <w:lang w:val="en-GB"/>
        </w:rPr>
      </w:pPr>
      <w:r w:rsidRPr="00FB6D01">
        <w:rPr>
          <w:rFonts w:cs="Arial"/>
          <w:b/>
          <w:sz w:val="20"/>
          <w:u w:val="single"/>
          <w:lang w:val="en-GB"/>
        </w:rPr>
        <w:t>ASSOCIATED COMPANIES</w:t>
      </w:r>
    </w:p>
    <w:p w:rsidR="000B22DF" w:rsidRDefault="000B22DF" w:rsidP="0060081D">
      <w:pPr>
        <w:pStyle w:val="BlockText"/>
        <w:numPr>
          <w:ilvl w:val="0"/>
          <w:numId w:val="6"/>
        </w:numPr>
        <w:snapToGrid w:val="0"/>
        <w:spacing w:after="120" w:line="360" w:lineRule="auto"/>
        <w:ind w:right="0"/>
        <w:rPr>
          <w:rFonts w:cs="Arial"/>
          <w:sz w:val="20"/>
          <w:lang w:val="en-GB"/>
        </w:rPr>
      </w:pPr>
      <w:r w:rsidRPr="0044377B">
        <w:rPr>
          <w:rFonts w:cs="Arial"/>
          <w:sz w:val="20"/>
          <w:lang w:val="en-GB"/>
        </w:rPr>
        <w:t>DEPA</w:t>
      </w:r>
      <w:r>
        <w:rPr>
          <w:rFonts w:cs="Arial"/>
          <w:sz w:val="20"/>
          <w:lang w:val="en-GB"/>
        </w:rPr>
        <w:t xml:space="preserve"> Group contribution to consolidated Net Income came at €7m (vs €</w:t>
      </w:r>
      <w:r w:rsidRPr="0070082D">
        <w:rPr>
          <w:rFonts w:cs="Arial"/>
          <w:sz w:val="20"/>
          <w:lang w:val="en-US"/>
        </w:rPr>
        <w:t>10</w:t>
      </w:r>
      <w:r>
        <w:rPr>
          <w:rFonts w:cs="Arial"/>
          <w:sz w:val="20"/>
          <w:lang w:val="en-GB"/>
        </w:rPr>
        <w:t>m in4Q13), due to weak demand from gas-fired electricity generators.</w:t>
      </w:r>
    </w:p>
    <w:p w:rsidR="000B22DF" w:rsidRDefault="000B22DF" w:rsidP="0060081D">
      <w:pPr>
        <w:pStyle w:val="BlockText"/>
        <w:numPr>
          <w:ilvl w:val="0"/>
          <w:numId w:val="6"/>
        </w:numPr>
        <w:snapToGrid w:val="0"/>
        <w:spacing w:after="120" w:line="360" w:lineRule="auto"/>
        <w:ind w:right="0"/>
        <w:rPr>
          <w:rFonts w:cs="Arial"/>
          <w:sz w:val="20"/>
          <w:lang w:val="en-GB"/>
        </w:rPr>
      </w:pPr>
      <w:r>
        <w:rPr>
          <w:rFonts w:cs="Arial"/>
          <w:sz w:val="20"/>
          <w:lang w:val="en-GB"/>
        </w:rPr>
        <w:t>Elpedison EBITDA</w:t>
      </w:r>
      <w:r w:rsidRPr="003F6CB3">
        <w:rPr>
          <w:rFonts w:cs="Arial"/>
          <w:sz w:val="20"/>
          <w:lang w:val="en-GB"/>
        </w:rPr>
        <w:t xml:space="preserve"> at €11m (4Q13: </w:t>
      </w:r>
      <w:r w:rsidRPr="00E41E10">
        <w:rPr>
          <w:rFonts w:cs="Arial"/>
          <w:sz w:val="20"/>
          <w:lang w:val="en-GB"/>
        </w:rPr>
        <w:t>€17m</w:t>
      </w:r>
      <w:r w:rsidRPr="003F6CB3">
        <w:rPr>
          <w:rFonts w:cs="Arial"/>
          <w:sz w:val="20"/>
          <w:lang w:val="en-GB"/>
        </w:rPr>
        <w:t>) on reduced production</w:t>
      </w:r>
      <w:r>
        <w:rPr>
          <w:rFonts w:cs="Arial"/>
          <w:sz w:val="20"/>
          <w:lang w:val="en-GB"/>
        </w:rPr>
        <w:t>.</w:t>
      </w:r>
    </w:p>
    <w:p w:rsidR="000B22DF" w:rsidRDefault="000B22DF" w:rsidP="00A12D18">
      <w:pPr>
        <w:pStyle w:val="BlockText"/>
        <w:snapToGrid w:val="0"/>
        <w:spacing w:after="240" w:line="360" w:lineRule="auto"/>
        <w:ind w:left="0" w:right="0" w:firstLine="0"/>
        <w:rPr>
          <w:rFonts w:cs="Arial"/>
          <w:b/>
          <w:bCs w:val="0"/>
          <w:sz w:val="20"/>
          <w:lang w:val="en-GB"/>
        </w:rPr>
      </w:pPr>
      <w:r>
        <w:rPr>
          <w:rFonts w:cs="Arial"/>
          <w:b/>
          <w:bCs w:val="0"/>
          <w:sz w:val="20"/>
          <w:lang w:val="en-GB"/>
        </w:rPr>
        <w:br w:type="page"/>
      </w:r>
      <w:r w:rsidRPr="006A3934">
        <w:rPr>
          <w:rFonts w:cs="Arial"/>
          <w:b/>
          <w:bCs w:val="0"/>
          <w:sz w:val="20"/>
          <w:lang w:val="en-GB"/>
        </w:rPr>
        <w:t>Key consolidated financial indicators (prepared i</w:t>
      </w:r>
      <w:r>
        <w:rPr>
          <w:rFonts w:cs="Arial"/>
          <w:b/>
          <w:bCs w:val="0"/>
          <w:sz w:val="20"/>
          <w:lang w:val="en-GB"/>
        </w:rPr>
        <w:t xml:space="preserve">n accordance with IFRS) for 4Q and FY 2014 </w:t>
      </w:r>
      <w:r w:rsidRPr="006A3934">
        <w:rPr>
          <w:rFonts w:cs="Arial"/>
          <w:b/>
          <w:bCs w:val="0"/>
          <w:sz w:val="20"/>
          <w:lang w:val="en-GB"/>
        </w:rPr>
        <w:t>are shown below:</w:t>
      </w:r>
    </w:p>
    <w:tbl>
      <w:tblPr>
        <w:tblW w:w="8948" w:type="dxa"/>
        <w:jc w:val="center"/>
        <w:tblBorders>
          <w:top w:val="single" w:sz="4" w:space="0" w:color="auto"/>
          <w:left w:val="single" w:sz="4" w:space="0" w:color="auto"/>
          <w:bottom w:val="single" w:sz="4" w:space="0" w:color="auto"/>
          <w:right w:val="single" w:sz="4" w:space="0" w:color="auto"/>
        </w:tblBorders>
        <w:tblLayout w:type="fixed"/>
        <w:tblLook w:val="01E0"/>
      </w:tblPr>
      <w:tblGrid>
        <w:gridCol w:w="3362"/>
        <w:gridCol w:w="1028"/>
        <w:gridCol w:w="1029"/>
        <w:gridCol w:w="1028"/>
        <w:gridCol w:w="828"/>
        <w:gridCol w:w="828"/>
        <w:gridCol w:w="845"/>
      </w:tblGrid>
      <w:tr w:rsidR="000B22DF" w:rsidRPr="00D935B5" w:rsidTr="00324193">
        <w:trPr>
          <w:trHeight w:val="450"/>
          <w:jc w:val="center"/>
        </w:trPr>
        <w:tc>
          <w:tcPr>
            <w:tcW w:w="3362" w:type="dxa"/>
            <w:tcBorders>
              <w:top w:val="single" w:sz="4" w:space="0" w:color="auto"/>
            </w:tcBorders>
            <w:vAlign w:val="center"/>
          </w:tcPr>
          <w:p w:rsidR="000B22DF" w:rsidRPr="00D935B5" w:rsidRDefault="000B22DF" w:rsidP="002B4EB9">
            <w:pPr>
              <w:spacing w:line="240" w:lineRule="auto"/>
              <w:jc w:val="left"/>
              <w:rPr>
                <w:rFonts w:ascii="Arial" w:hAnsi="Arial" w:cs="Arial"/>
                <w:bCs/>
                <w:i/>
                <w:iCs/>
                <w:lang w:val="en-GB"/>
              </w:rPr>
            </w:pPr>
            <w:r w:rsidRPr="00D935B5">
              <w:rPr>
                <w:rFonts w:ascii="Arial" w:hAnsi="Arial" w:cs="Arial"/>
                <w:bCs/>
                <w:i/>
                <w:iCs/>
                <w:lang w:val="en-GB"/>
              </w:rPr>
              <w:t>€ million</w:t>
            </w:r>
          </w:p>
        </w:tc>
        <w:tc>
          <w:tcPr>
            <w:tcW w:w="1028" w:type="dxa"/>
            <w:tcBorders>
              <w:top w:val="single" w:sz="4" w:space="0" w:color="auto"/>
            </w:tcBorders>
            <w:vAlign w:val="center"/>
          </w:tcPr>
          <w:p w:rsidR="000B22DF" w:rsidRPr="00D935B5" w:rsidRDefault="000B22DF" w:rsidP="002B4EB9">
            <w:pPr>
              <w:spacing w:line="240" w:lineRule="auto"/>
              <w:jc w:val="right"/>
              <w:rPr>
                <w:rFonts w:ascii="Arial" w:hAnsi="Arial" w:cs="Arial"/>
                <w:b/>
                <w:bCs/>
                <w:iCs/>
                <w:lang w:val="en-GB"/>
              </w:rPr>
            </w:pPr>
            <w:r>
              <w:rPr>
                <w:rFonts w:ascii="Arial" w:hAnsi="Arial" w:cs="Arial"/>
                <w:b/>
                <w:bCs/>
                <w:iCs/>
                <w:lang w:val="en-GB"/>
              </w:rPr>
              <w:t>4Q</w:t>
            </w:r>
            <w:r w:rsidRPr="00D935B5">
              <w:rPr>
                <w:rFonts w:ascii="Arial" w:hAnsi="Arial" w:cs="Arial"/>
                <w:b/>
                <w:bCs/>
                <w:iCs/>
                <w:lang w:val="en-GB"/>
              </w:rPr>
              <w:t>1</w:t>
            </w:r>
            <w:r>
              <w:rPr>
                <w:rFonts w:ascii="Arial" w:hAnsi="Arial" w:cs="Arial"/>
                <w:b/>
                <w:bCs/>
                <w:iCs/>
                <w:lang w:val="en-GB"/>
              </w:rPr>
              <w:t>3</w:t>
            </w:r>
          </w:p>
        </w:tc>
        <w:tc>
          <w:tcPr>
            <w:tcW w:w="1029" w:type="dxa"/>
            <w:tcBorders>
              <w:top w:val="single" w:sz="4" w:space="0" w:color="auto"/>
            </w:tcBorders>
            <w:vAlign w:val="center"/>
          </w:tcPr>
          <w:p w:rsidR="000B22DF" w:rsidRPr="00D935B5" w:rsidRDefault="000B22DF" w:rsidP="0070082D">
            <w:pPr>
              <w:spacing w:line="240" w:lineRule="auto"/>
              <w:jc w:val="right"/>
              <w:rPr>
                <w:rFonts w:ascii="Arial" w:hAnsi="Arial" w:cs="Arial"/>
                <w:b/>
                <w:bCs/>
                <w:iCs/>
                <w:lang w:val="en-GB"/>
              </w:rPr>
            </w:pPr>
            <w:r>
              <w:rPr>
                <w:rFonts w:ascii="Arial" w:hAnsi="Arial" w:cs="Arial"/>
                <w:b/>
                <w:bCs/>
                <w:iCs/>
                <w:lang w:val="en-GB"/>
              </w:rPr>
              <w:t>4Q</w:t>
            </w:r>
            <w:r w:rsidRPr="00D935B5">
              <w:rPr>
                <w:rFonts w:ascii="Arial" w:hAnsi="Arial" w:cs="Arial"/>
                <w:b/>
                <w:bCs/>
                <w:iCs/>
                <w:lang w:val="en-GB"/>
              </w:rPr>
              <w:t>1</w:t>
            </w:r>
            <w:r>
              <w:rPr>
                <w:rFonts w:ascii="Arial" w:hAnsi="Arial" w:cs="Arial"/>
                <w:b/>
                <w:bCs/>
                <w:iCs/>
                <w:lang w:val="en-GB"/>
              </w:rPr>
              <w:t>4</w:t>
            </w:r>
          </w:p>
        </w:tc>
        <w:tc>
          <w:tcPr>
            <w:tcW w:w="1028" w:type="dxa"/>
            <w:tcBorders>
              <w:top w:val="single" w:sz="4" w:space="0" w:color="auto"/>
            </w:tcBorders>
            <w:vAlign w:val="center"/>
          </w:tcPr>
          <w:p w:rsidR="000B22DF" w:rsidRPr="00D935B5" w:rsidRDefault="000B22DF" w:rsidP="002B4EB9">
            <w:pPr>
              <w:spacing w:line="240" w:lineRule="auto"/>
              <w:jc w:val="right"/>
              <w:rPr>
                <w:rFonts w:ascii="Arial" w:hAnsi="Arial" w:cs="Arial"/>
                <w:b/>
                <w:bCs/>
                <w:i/>
                <w:iCs/>
                <w:lang w:val="en-GB"/>
              </w:rPr>
            </w:pPr>
            <w:r w:rsidRPr="00D935B5">
              <w:rPr>
                <w:rFonts w:ascii="Arial" w:hAnsi="Arial" w:cs="Arial"/>
                <w:b/>
                <w:bCs/>
                <w:i/>
                <w:iCs/>
                <w:lang w:val="en-GB"/>
              </w:rPr>
              <w:t>% Δ</w:t>
            </w:r>
          </w:p>
        </w:tc>
        <w:tc>
          <w:tcPr>
            <w:tcW w:w="828" w:type="dxa"/>
            <w:tcBorders>
              <w:top w:val="single" w:sz="4" w:space="0" w:color="auto"/>
            </w:tcBorders>
            <w:vAlign w:val="center"/>
          </w:tcPr>
          <w:p w:rsidR="000B22DF" w:rsidRPr="00D935B5" w:rsidRDefault="000B22DF" w:rsidP="00087C15">
            <w:pPr>
              <w:spacing w:line="240" w:lineRule="auto"/>
              <w:jc w:val="right"/>
              <w:rPr>
                <w:rFonts w:ascii="Arial" w:hAnsi="Arial" w:cs="Arial"/>
                <w:b/>
                <w:bCs/>
                <w:iCs/>
                <w:lang w:val="en-GB"/>
              </w:rPr>
            </w:pPr>
            <w:r>
              <w:rPr>
                <w:rFonts w:ascii="Arial" w:hAnsi="Arial" w:cs="Arial"/>
                <w:b/>
                <w:bCs/>
                <w:iCs/>
                <w:lang w:val="en-GB"/>
              </w:rPr>
              <w:t>FY</w:t>
            </w:r>
            <w:r w:rsidRPr="00D935B5">
              <w:rPr>
                <w:rFonts w:ascii="Arial" w:hAnsi="Arial" w:cs="Arial"/>
                <w:b/>
                <w:bCs/>
                <w:iCs/>
                <w:lang w:val="en-GB"/>
              </w:rPr>
              <w:t>1</w:t>
            </w:r>
            <w:r>
              <w:rPr>
                <w:rFonts w:ascii="Arial" w:hAnsi="Arial" w:cs="Arial"/>
                <w:b/>
                <w:bCs/>
                <w:iCs/>
                <w:lang w:val="en-GB"/>
              </w:rPr>
              <w:t>3</w:t>
            </w:r>
          </w:p>
        </w:tc>
        <w:tc>
          <w:tcPr>
            <w:tcW w:w="828" w:type="dxa"/>
            <w:tcBorders>
              <w:top w:val="single" w:sz="4" w:space="0" w:color="auto"/>
            </w:tcBorders>
            <w:vAlign w:val="center"/>
          </w:tcPr>
          <w:p w:rsidR="000B22DF" w:rsidRPr="00D935B5" w:rsidRDefault="000B22DF" w:rsidP="00087C15">
            <w:pPr>
              <w:spacing w:line="240" w:lineRule="auto"/>
              <w:jc w:val="right"/>
              <w:rPr>
                <w:rFonts w:ascii="Arial" w:hAnsi="Arial" w:cs="Arial"/>
                <w:b/>
                <w:bCs/>
                <w:iCs/>
                <w:lang w:val="en-GB"/>
              </w:rPr>
            </w:pPr>
            <w:r>
              <w:rPr>
                <w:rFonts w:ascii="Arial" w:hAnsi="Arial" w:cs="Arial"/>
                <w:b/>
                <w:bCs/>
                <w:iCs/>
                <w:lang w:val="en-GB"/>
              </w:rPr>
              <w:t>FY</w:t>
            </w:r>
            <w:r w:rsidRPr="00D935B5">
              <w:rPr>
                <w:rFonts w:ascii="Arial" w:hAnsi="Arial" w:cs="Arial"/>
                <w:b/>
                <w:bCs/>
                <w:iCs/>
                <w:lang w:val="en-GB"/>
              </w:rPr>
              <w:t>1</w:t>
            </w:r>
            <w:r>
              <w:rPr>
                <w:rFonts w:ascii="Arial" w:hAnsi="Arial" w:cs="Arial"/>
                <w:b/>
                <w:bCs/>
                <w:iCs/>
                <w:lang w:val="en-GB"/>
              </w:rPr>
              <w:t>4</w:t>
            </w:r>
          </w:p>
        </w:tc>
        <w:tc>
          <w:tcPr>
            <w:tcW w:w="845" w:type="dxa"/>
            <w:tcBorders>
              <w:top w:val="single" w:sz="4" w:space="0" w:color="auto"/>
            </w:tcBorders>
            <w:vAlign w:val="center"/>
          </w:tcPr>
          <w:p w:rsidR="000B22DF" w:rsidRPr="00D935B5" w:rsidRDefault="000B22DF" w:rsidP="002B4EB9">
            <w:pPr>
              <w:spacing w:line="240" w:lineRule="auto"/>
              <w:jc w:val="right"/>
              <w:rPr>
                <w:rFonts w:ascii="Arial" w:hAnsi="Arial" w:cs="Arial"/>
                <w:b/>
                <w:bCs/>
                <w:i/>
                <w:iCs/>
                <w:lang w:val="en-GB"/>
              </w:rPr>
            </w:pPr>
            <w:r w:rsidRPr="00D935B5">
              <w:rPr>
                <w:rFonts w:ascii="Arial" w:hAnsi="Arial" w:cs="Arial"/>
                <w:b/>
                <w:bCs/>
                <w:i/>
                <w:iCs/>
                <w:lang w:val="en-GB"/>
              </w:rPr>
              <w:t>% Δ</w:t>
            </w:r>
          </w:p>
        </w:tc>
      </w:tr>
      <w:tr w:rsidR="000B22DF" w:rsidRPr="00D935B5" w:rsidTr="00324193">
        <w:trPr>
          <w:trHeight w:val="450"/>
          <w:jc w:val="center"/>
        </w:trPr>
        <w:tc>
          <w:tcPr>
            <w:tcW w:w="3362" w:type="dxa"/>
            <w:shd w:val="clear" w:color="auto" w:fill="E0E0E0"/>
            <w:vAlign w:val="center"/>
          </w:tcPr>
          <w:p w:rsidR="000B22DF" w:rsidRPr="00D935B5" w:rsidRDefault="000B22DF" w:rsidP="002B4EB9">
            <w:pPr>
              <w:spacing w:line="240" w:lineRule="auto"/>
              <w:jc w:val="left"/>
              <w:rPr>
                <w:rFonts w:ascii="Arial" w:hAnsi="Arial" w:cs="Arial"/>
                <w:bCs/>
                <w:iCs/>
                <w:lang w:val="en-GB"/>
              </w:rPr>
            </w:pPr>
            <w:r w:rsidRPr="00D935B5">
              <w:rPr>
                <w:rFonts w:ascii="Arial" w:hAnsi="Arial" w:cs="Arial"/>
                <w:b/>
                <w:bCs/>
                <w:lang w:val="en-GB"/>
              </w:rPr>
              <w:t>P&amp;L figures</w:t>
            </w:r>
          </w:p>
        </w:tc>
        <w:tc>
          <w:tcPr>
            <w:tcW w:w="1028" w:type="dxa"/>
            <w:shd w:val="clear" w:color="auto" w:fill="E0E0E0"/>
            <w:vAlign w:val="center"/>
          </w:tcPr>
          <w:p w:rsidR="000B22DF" w:rsidRPr="00D935B5" w:rsidRDefault="000B22DF" w:rsidP="002B4EB9">
            <w:pPr>
              <w:spacing w:line="240" w:lineRule="auto"/>
              <w:jc w:val="left"/>
              <w:rPr>
                <w:rFonts w:ascii="Arial" w:hAnsi="Arial" w:cs="Arial"/>
                <w:bCs/>
                <w:iCs/>
                <w:lang w:val="en-GB"/>
              </w:rPr>
            </w:pPr>
          </w:p>
        </w:tc>
        <w:tc>
          <w:tcPr>
            <w:tcW w:w="1029" w:type="dxa"/>
            <w:shd w:val="clear" w:color="auto" w:fill="E0E0E0"/>
            <w:vAlign w:val="center"/>
          </w:tcPr>
          <w:p w:rsidR="000B22DF" w:rsidRPr="00D935B5" w:rsidRDefault="000B22DF" w:rsidP="002B4EB9">
            <w:pPr>
              <w:spacing w:line="240" w:lineRule="auto"/>
              <w:jc w:val="left"/>
              <w:rPr>
                <w:rFonts w:ascii="Arial" w:hAnsi="Arial" w:cs="Arial"/>
                <w:bCs/>
                <w:iCs/>
                <w:lang w:val="en-GB"/>
              </w:rPr>
            </w:pPr>
          </w:p>
        </w:tc>
        <w:tc>
          <w:tcPr>
            <w:tcW w:w="1028" w:type="dxa"/>
            <w:shd w:val="clear" w:color="auto" w:fill="E0E0E0"/>
            <w:vAlign w:val="center"/>
          </w:tcPr>
          <w:p w:rsidR="000B22DF" w:rsidRPr="00D935B5" w:rsidRDefault="000B22DF" w:rsidP="002B4EB9">
            <w:pPr>
              <w:spacing w:line="240" w:lineRule="auto"/>
              <w:jc w:val="right"/>
              <w:rPr>
                <w:rFonts w:ascii="Arial" w:hAnsi="Arial" w:cs="Arial"/>
                <w:bCs/>
                <w:i/>
                <w:iCs/>
                <w:lang w:val="en-GB"/>
              </w:rPr>
            </w:pPr>
          </w:p>
        </w:tc>
        <w:tc>
          <w:tcPr>
            <w:tcW w:w="828" w:type="dxa"/>
            <w:shd w:val="clear" w:color="auto" w:fill="E0E0E0"/>
            <w:vAlign w:val="center"/>
          </w:tcPr>
          <w:p w:rsidR="000B22DF" w:rsidRPr="00D935B5" w:rsidRDefault="000B22DF" w:rsidP="002B4EB9">
            <w:pPr>
              <w:spacing w:line="240" w:lineRule="auto"/>
              <w:jc w:val="left"/>
              <w:rPr>
                <w:rFonts w:ascii="Arial" w:hAnsi="Arial" w:cs="Arial"/>
                <w:bCs/>
                <w:iCs/>
                <w:lang w:val="en-GB"/>
              </w:rPr>
            </w:pPr>
          </w:p>
        </w:tc>
        <w:tc>
          <w:tcPr>
            <w:tcW w:w="828" w:type="dxa"/>
            <w:shd w:val="clear" w:color="auto" w:fill="E0E0E0"/>
          </w:tcPr>
          <w:p w:rsidR="000B22DF" w:rsidRPr="00D935B5" w:rsidRDefault="000B22DF" w:rsidP="002B4EB9">
            <w:pPr>
              <w:spacing w:line="240" w:lineRule="auto"/>
              <w:jc w:val="left"/>
              <w:rPr>
                <w:rFonts w:ascii="Arial" w:hAnsi="Arial" w:cs="Arial"/>
                <w:bCs/>
                <w:iCs/>
                <w:lang w:val="en-GB"/>
              </w:rPr>
            </w:pPr>
          </w:p>
        </w:tc>
        <w:tc>
          <w:tcPr>
            <w:tcW w:w="845" w:type="dxa"/>
            <w:shd w:val="clear" w:color="auto" w:fill="E0E0E0"/>
          </w:tcPr>
          <w:p w:rsidR="000B22DF" w:rsidRPr="00D935B5" w:rsidRDefault="000B22DF" w:rsidP="002B4EB9">
            <w:pPr>
              <w:spacing w:line="240" w:lineRule="auto"/>
              <w:jc w:val="left"/>
              <w:rPr>
                <w:rFonts w:ascii="Arial" w:hAnsi="Arial" w:cs="Arial"/>
                <w:bCs/>
                <w:iCs/>
                <w:lang w:val="en-GB"/>
              </w:rPr>
            </w:pPr>
          </w:p>
        </w:tc>
      </w:tr>
      <w:tr w:rsidR="000B22DF" w:rsidRPr="00D935B5" w:rsidTr="00267AC7">
        <w:trPr>
          <w:trHeight w:val="450"/>
          <w:jc w:val="center"/>
        </w:trPr>
        <w:tc>
          <w:tcPr>
            <w:tcW w:w="3362" w:type="dxa"/>
            <w:vAlign w:val="center"/>
          </w:tcPr>
          <w:p w:rsidR="000B22DF" w:rsidRPr="00D935B5" w:rsidRDefault="000B22DF" w:rsidP="00087C15">
            <w:pPr>
              <w:spacing w:line="240" w:lineRule="auto"/>
              <w:jc w:val="left"/>
              <w:rPr>
                <w:rFonts w:ascii="Arial" w:hAnsi="Arial" w:cs="Arial"/>
                <w:bCs/>
                <w:iCs/>
                <w:lang w:val="en-GB"/>
              </w:rPr>
            </w:pPr>
            <w:r w:rsidRPr="00114541">
              <w:rPr>
                <w:rFonts w:ascii="Arial" w:hAnsi="Arial" w:cs="Arial"/>
                <w:bCs/>
                <w:iCs/>
                <w:lang w:val="en-GB"/>
              </w:rPr>
              <w:t>Refining Sales Volumes (‘000 ΜΤ)</w:t>
            </w:r>
          </w:p>
        </w:tc>
        <w:tc>
          <w:tcPr>
            <w:tcW w:w="1028" w:type="dxa"/>
            <w:vAlign w:val="center"/>
          </w:tcPr>
          <w:p w:rsidR="000B22DF" w:rsidRPr="00087C15" w:rsidRDefault="000B22DF" w:rsidP="00087C15">
            <w:pPr>
              <w:spacing w:line="240" w:lineRule="auto"/>
              <w:jc w:val="right"/>
              <w:rPr>
                <w:rFonts w:ascii="Arial" w:hAnsi="Arial" w:cs="Arial"/>
                <w:bCs/>
                <w:iCs/>
                <w:lang w:val="en-GB"/>
              </w:rPr>
            </w:pPr>
            <w:r>
              <w:rPr>
                <w:rFonts w:ascii="Arial" w:hAnsi="Arial" w:cs="Arial"/>
                <w:bCs/>
                <w:iCs/>
                <w:lang w:val="en-GB"/>
              </w:rPr>
              <w:t>2,</w:t>
            </w:r>
            <w:r w:rsidRPr="00087C15">
              <w:rPr>
                <w:rFonts w:ascii="Arial" w:hAnsi="Arial" w:cs="Arial"/>
                <w:bCs/>
                <w:iCs/>
                <w:lang w:val="en-GB"/>
              </w:rPr>
              <w:t>915</w:t>
            </w:r>
          </w:p>
        </w:tc>
        <w:tc>
          <w:tcPr>
            <w:tcW w:w="1029" w:type="dxa"/>
            <w:vAlign w:val="center"/>
          </w:tcPr>
          <w:p w:rsidR="000B22DF" w:rsidRPr="00087C15" w:rsidRDefault="000B22DF" w:rsidP="00087C15">
            <w:pPr>
              <w:spacing w:line="240" w:lineRule="auto"/>
              <w:jc w:val="right"/>
              <w:rPr>
                <w:rFonts w:ascii="Arial" w:hAnsi="Arial" w:cs="Arial"/>
                <w:bCs/>
                <w:iCs/>
                <w:lang w:val="en-GB"/>
              </w:rPr>
            </w:pPr>
            <w:r>
              <w:rPr>
                <w:rFonts w:ascii="Arial" w:hAnsi="Arial" w:cs="Arial"/>
                <w:bCs/>
                <w:iCs/>
                <w:lang w:val="en-GB"/>
              </w:rPr>
              <w:t>3,</w:t>
            </w:r>
            <w:r w:rsidRPr="00087C15">
              <w:rPr>
                <w:rFonts w:ascii="Arial" w:hAnsi="Arial" w:cs="Arial"/>
                <w:bCs/>
                <w:iCs/>
                <w:lang w:val="en-GB"/>
              </w:rPr>
              <w:t>981</w:t>
            </w:r>
          </w:p>
        </w:tc>
        <w:tc>
          <w:tcPr>
            <w:tcW w:w="1028"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37%</w:t>
            </w:r>
          </w:p>
        </w:tc>
        <w:tc>
          <w:tcPr>
            <w:tcW w:w="828"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12</w:t>
            </w:r>
            <w:r>
              <w:rPr>
                <w:rFonts w:ascii="Arial" w:hAnsi="Arial" w:cs="Arial"/>
                <w:bCs/>
                <w:iCs/>
                <w:lang w:val="en-GB"/>
              </w:rPr>
              <w:t>,</w:t>
            </w:r>
            <w:r w:rsidRPr="00087C15">
              <w:rPr>
                <w:rFonts w:ascii="Arial" w:hAnsi="Arial" w:cs="Arial"/>
                <w:bCs/>
                <w:iCs/>
                <w:lang w:val="en-GB"/>
              </w:rPr>
              <w:t>696</w:t>
            </w:r>
          </w:p>
        </w:tc>
        <w:tc>
          <w:tcPr>
            <w:tcW w:w="828"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13</w:t>
            </w:r>
            <w:r>
              <w:rPr>
                <w:rFonts w:ascii="Arial" w:hAnsi="Arial" w:cs="Arial"/>
                <w:bCs/>
                <w:iCs/>
                <w:lang w:val="en-GB"/>
              </w:rPr>
              <w:t>,</w:t>
            </w:r>
            <w:r w:rsidRPr="00087C15">
              <w:rPr>
                <w:rFonts w:ascii="Arial" w:hAnsi="Arial" w:cs="Arial"/>
                <w:bCs/>
                <w:iCs/>
                <w:lang w:val="en-GB"/>
              </w:rPr>
              <w:t>538</w:t>
            </w:r>
          </w:p>
        </w:tc>
        <w:tc>
          <w:tcPr>
            <w:tcW w:w="845"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7%</w:t>
            </w:r>
          </w:p>
        </w:tc>
      </w:tr>
      <w:tr w:rsidR="000B22DF" w:rsidRPr="00CE206B" w:rsidTr="00267AC7">
        <w:trPr>
          <w:trHeight w:val="450"/>
          <w:jc w:val="center"/>
        </w:trPr>
        <w:tc>
          <w:tcPr>
            <w:tcW w:w="3362" w:type="dxa"/>
            <w:vAlign w:val="center"/>
          </w:tcPr>
          <w:p w:rsidR="000B22DF" w:rsidRPr="001E1035" w:rsidRDefault="000B22DF" w:rsidP="00087C15">
            <w:pPr>
              <w:spacing w:line="240" w:lineRule="auto"/>
              <w:jc w:val="left"/>
              <w:rPr>
                <w:rFonts w:ascii="Arial" w:hAnsi="Arial" w:cs="Arial"/>
                <w:bCs/>
                <w:iCs/>
                <w:lang w:val="en-GB"/>
              </w:rPr>
            </w:pPr>
            <w:r>
              <w:rPr>
                <w:rFonts w:ascii="Arial" w:hAnsi="Arial" w:cs="Arial"/>
                <w:bCs/>
                <w:iCs/>
                <w:lang w:val="en-GB"/>
              </w:rPr>
              <w:t xml:space="preserve">Sales </w:t>
            </w:r>
          </w:p>
        </w:tc>
        <w:tc>
          <w:tcPr>
            <w:tcW w:w="1028"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2</w:t>
            </w:r>
            <w:r>
              <w:rPr>
                <w:rFonts w:ascii="Arial" w:hAnsi="Arial" w:cs="Arial"/>
                <w:bCs/>
                <w:iCs/>
                <w:lang w:val="en-GB"/>
              </w:rPr>
              <w:t>,</w:t>
            </w:r>
            <w:r w:rsidRPr="00087C15">
              <w:rPr>
                <w:rFonts w:ascii="Arial" w:hAnsi="Arial" w:cs="Arial"/>
                <w:bCs/>
                <w:iCs/>
                <w:lang w:val="en-GB"/>
              </w:rPr>
              <w:t>227</w:t>
            </w:r>
          </w:p>
        </w:tc>
        <w:tc>
          <w:tcPr>
            <w:tcW w:w="1029"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2</w:t>
            </w:r>
            <w:r>
              <w:rPr>
                <w:rFonts w:ascii="Arial" w:hAnsi="Arial" w:cs="Arial"/>
                <w:bCs/>
                <w:iCs/>
                <w:lang w:val="en-GB"/>
              </w:rPr>
              <w:t>,</w:t>
            </w:r>
            <w:r w:rsidRPr="00087C15">
              <w:rPr>
                <w:rFonts w:ascii="Arial" w:hAnsi="Arial" w:cs="Arial"/>
                <w:bCs/>
                <w:iCs/>
                <w:lang w:val="en-GB"/>
              </w:rPr>
              <w:t>378</w:t>
            </w:r>
          </w:p>
        </w:tc>
        <w:tc>
          <w:tcPr>
            <w:tcW w:w="1028"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7%</w:t>
            </w:r>
          </w:p>
        </w:tc>
        <w:tc>
          <w:tcPr>
            <w:tcW w:w="828" w:type="dxa"/>
            <w:vAlign w:val="center"/>
          </w:tcPr>
          <w:p w:rsidR="000B22DF" w:rsidRPr="00087C15" w:rsidRDefault="000B22DF" w:rsidP="00087C15">
            <w:pPr>
              <w:spacing w:line="240" w:lineRule="auto"/>
              <w:jc w:val="right"/>
              <w:rPr>
                <w:rFonts w:ascii="Arial" w:hAnsi="Arial" w:cs="Arial"/>
                <w:bCs/>
                <w:iCs/>
                <w:lang w:val="en-GB"/>
              </w:rPr>
            </w:pPr>
            <w:r>
              <w:rPr>
                <w:rFonts w:ascii="Arial" w:hAnsi="Arial" w:cs="Arial"/>
                <w:bCs/>
                <w:iCs/>
                <w:lang w:val="en-GB"/>
              </w:rPr>
              <w:t>9,</w:t>
            </w:r>
            <w:r w:rsidRPr="00087C15">
              <w:rPr>
                <w:rFonts w:ascii="Arial" w:hAnsi="Arial" w:cs="Arial"/>
                <w:bCs/>
                <w:iCs/>
                <w:lang w:val="en-GB"/>
              </w:rPr>
              <w:t>674</w:t>
            </w:r>
          </w:p>
        </w:tc>
        <w:tc>
          <w:tcPr>
            <w:tcW w:w="828" w:type="dxa"/>
            <w:vAlign w:val="center"/>
          </w:tcPr>
          <w:p w:rsidR="000B22DF" w:rsidRPr="00087C15" w:rsidRDefault="000B22DF" w:rsidP="00087C15">
            <w:pPr>
              <w:spacing w:line="240" w:lineRule="auto"/>
              <w:jc w:val="right"/>
              <w:rPr>
                <w:rFonts w:ascii="Arial" w:hAnsi="Arial" w:cs="Arial"/>
                <w:bCs/>
                <w:iCs/>
                <w:lang w:val="en-GB"/>
              </w:rPr>
            </w:pPr>
            <w:r>
              <w:rPr>
                <w:rFonts w:ascii="Arial" w:hAnsi="Arial" w:cs="Arial"/>
                <w:bCs/>
                <w:iCs/>
                <w:lang w:val="en-GB"/>
              </w:rPr>
              <w:t>9,</w:t>
            </w:r>
            <w:r w:rsidRPr="00087C15">
              <w:rPr>
                <w:rFonts w:ascii="Arial" w:hAnsi="Arial" w:cs="Arial"/>
                <w:bCs/>
                <w:iCs/>
                <w:lang w:val="en-GB"/>
              </w:rPr>
              <w:t>474</w:t>
            </w:r>
          </w:p>
        </w:tc>
        <w:tc>
          <w:tcPr>
            <w:tcW w:w="845"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-2%</w:t>
            </w:r>
          </w:p>
        </w:tc>
      </w:tr>
      <w:tr w:rsidR="000B22DF" w:rsidRPr="00CE206B" w:rsidTr="00267AC7">
        <w:trPr>
          <w:trHeight w:val="450"/>
          <w:jc w:val="center"/>
        </w:trPr>
        <w:tc>
          <w:tcPr>
            <w:tcW w:w="3362" w:type="dxa"/>
            <w:vAlign w:val="center"/>
          </w:tcPr>
          <w:p w:rsidR="000B22DF" w:rsidRPr="001E1035" w:rsidRDefault="000B22DF" w:rsidP="00087C15">
            <w:pPr>
              <w:spacing w:line="240" w:lineRule="auto"/>
              <w:jc w:val="left"/>
              <w:rPr>
                <w:rFonts w:ascii="Arial" w:hAnsi="Arial" w:cs="Arial"/>
                <w:bCs/>
                <w:iCs/>
                <w:lang w:val="en-GB"/>
              </w:rPr>
            </w:pPr>
            <w:r w:rsidRPr="001E1035">
              <w:rPr>
                <w:rFonts w:ascii="Arial" w:hAnsi="Arial" w:cs="Arial"/>
                <w:bCs/>
                <w:iCs/>
                <w:lang w:val="en-GB"/>
              </w:rPr>
              <w:t>EBITDA</w:t>
            </w:r>
          </w:p>
        </w:tc>
        <w:tc>
          <w:tcPr>
            <w:tcW w:w="1028"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(11)</w:t>
            </w:r>
          </w:p>
        </w:tc>
        <w:tc>
          <w:tcPr>
            <w:tcW w:w="1029" w:type="dxa"/>
            <w:vAlign w:val="center"/>
          </w:tcPr>
          <w:p w:rsidR="000B22DF" w:rsidRPr="00087C15" w:rsidRDefault="000B22DF" w:rsidP="002C0A6A">
            <w:pPr>
              <w:spacing w:line="240" w:lineRule="auto"/>
              <w:jc w:val="right"/>
              <w:rPr>
                <w:rFonts w:ascii="Arial" w:hAnsi="Arial" w:cs="Arial"/>
                <w:bCs/>
                <w:iCs/>
                <w:lang w:val="en-GB"/>
              </w:rPr>
            </w:pPr>
            <w:r w:rsidRPr="00087C15">
              <w:rPr>
                <w:rFonts w:ascii="Arial" w:hAnsi="Arial" w:cs="Arial"/>
                <w:bCs/>
                <w:iCs/>
                <w:lang w:val="en-GB"/>
              </w:rPr>
              <w:t>(20</w:t>
            </w:r>
            <w:r>
              <w:rPr>
                <w:rFonts w:ascii="Arial" w:hAnsi="Arial" w:cs="Arial"/>
                <w:bCs/>
                <w:iCs/>
                <w:lang w:val="en-GB"/>
              </w:rPr>
              <w:t>6</w:t>
            </w:r>
            <w:r w:rsidRPr="00087C15">
              <w:rPr>
                <w:rFonts w:ascii="Arial" w:hAnsi="Arial" w:cs="Arial"/>
                <w:bCs/>
                <w:iCs/>
                <w:lang w:val="en-GB"/>
              </w:rPr>
              <w:t>)</w:t>
            </w:r>
          </w:p>
        </w:tc>
        <w:tc>
          <w:tcPr>
            <w:tcW w:w="1028"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w:t>
            </w:r>
          </w:p>
        </w:tc>
        <w:tc>
          <w:tcPr>
            <w:tcW w:w="828"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29</w:t>
            </w:r>
          </w:p>
        </w:tc>
        <w:tc>
          <w:tcPr>
            <w:tcW w:w="828" w:type="dxa"/>
            <w:vAlign w:val="center"/>
          </w:tcPr>
          <w:p w:rsidR="000B22DF" w:rsidRPr="00087C15" w:rsidRDefault="000B22DF" w:rsidP="002C0A6A">
            <w:pPr>
              <w:spacing w:line="240" w:lineRule="auto"/>
              <w:jc w:val="right"/>
              <w:rPr>
                <w:rFonts w:ascii="Arial" w:hAnsi="Arial" w:cs="Arial"/>
                <w:bCs/>
                <w:iCs/>
                <w:lang w:val="en-GB"/>
              </w:rPr>
            </w:pPr>
            <w:r w:rsidRPr="00087C15">
              <w:rPr>
                <w:rFonts w:ascii="Arial" w:hAnsi="Arial" w:cs="Arial"/>
                <w:bCs/>
                <w:iCs/>
                <w:lang w:val="en-GB"/>
              </w:rPr>
              <w:t>(</w:t>
            </w:r>
            <w:r>
              <w:rPr>
                <w:rFonts w:ascii="Arial" w:hAnsi="Arial" w:cs="Arial"/>
                <w:bCs/>
                <w:iCs/>
                <w:lang w:val="en-GB"/>
              </w:rPr>
              <w:t>84</w:t>
            </w:r>
            <w:r w:rsidRPr="00087C15">
              <w:rPr>
                <w:rFonts w:ascii="Arial" w:hAnsi="Arial" w:cs="Arial"/>
                <w:bCs/>
                <w:iCs/>
                <w:lang w:val="en-GB"/>
              </w:rPr>
              <w:t>)</w:t>
            </w:r>
          </w:p>
        </w:tc>
        <w:tc>
          <w:tcPr>
            <w:tcW w:w="845"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w:t>
            </w:r>
          </w:p>
        </w:tc>
      </w:tr>
      <w:tr w:rsidR="000B22DF" w:rsidRPr="00CE206B" w:rsidTr="00267AC7">
        <w:trPr>
          <w:trHeight w:val="450"/>
          <w:jc w:val="center"/>
        </w:trPr>
        <w:tc>
          <w:tcPr>
            <w:tcW w:w="3362" w:type="dxa"/>
            <w:vAlign w:val="center"/>
          </w:tcPr>
          <w:p w:rsidR="000B22DF" w:rsidRPr="001E1035" w:rsidRDefault="000B22DF" w:rsidP="00087C15">
            <w:pPr>
              <w:spacing w:line="240" w:lineRule="auto"/>
              <w:jc w:val="left"/>
              <w:rPr>
                <w:rFonts w:ascii="Arial" w:hAnsi="Arial" w:cs="Arial"/>
                <w:b/>
                <w:bCs/>
                <w:iCs/>
                <w:lang w:val="en-GB"/>
              </w:rPr>
            </w:pPr>
            <w:r w:rsidRPr="001E1035">
              <w:rPr>
                <w:rFonts w:ascii="Arial" w:hAnsi="Arial" w:cs="Arial"/>
                <w:b/>
                <w:bCs/>
                <w:iCs/>
                <w:lang w:val="en-GB"/>
              </w:rPr>
              <w:t xml:space="preserve">Adjusted EBITDA </w:t>
            </w:r>
            <w:r w:rsidRPr="001E1035">
              <w:rPr>
                <w:rFonts w:ascii="Arial" w:hAnsi="Arial" w:cs="Arial"/>
                <w:b/>
                <w:bCs/>
                <w:iCs/>
                <w:vertAlign w:val="superscript"/>
                <w:lang w:val="en-GB"/>
              </w:rPr>
              <w:t>1</w:t>
            </w:r>
          </w:p>
        </w:tc>
        <w:tc>
          <w:tcPr>
            <w:tcW w:w="1028" w:type="dxa"/>
            <w:vAlign w:val="center"/>
          </w:tcPr>
          <w:p w:rsidR="000B22DF" w:rsidRPr="00087C15" w:rsidRDefault="000B22DF" w:rsidP="00087C15">
            <w:pPr>
              <w:spacing w:line="240" w:lineRule="auto"/>
              <w:jc w:val="right"/>
              <w:rPr>
                <w:rFonts w:ascii="Arial" w:hAnsi="Arial" w:cs="Arial"/>
                <w:b/>
                <w:bCs/>
                <w:iCs/>
                <w:lang w:val="en-GB"/>
              </w:rPr>
            </w:pPr>
            <w:r w:rsidRPr="00087C15">
              <w:rPr>
                <w:rFonts w:ascii="Arial" w:hAnsi="Arial" w:cs="Arial"/>
                <w:b/>
                <w:bCs/>
                <w:iCs/>
                <w:lang w:val="en-GB"/>
              </w:rPr>
              <w:t>45</w:t>
            </w:r>
          </w:p>
        </w:tc>
        <w:tc>
          <w:tcPr>
            <w:tcW w:w="1029" w:type="dxa"/>
            <w:vAlign w:val="center"/>
          </w:tcPr>
          <w:p w:rsidR="000B22DF" w:rsidRPr="00087C15" w:rsidRDefault="000B22DF" w:rsidP="002C0A6A">
            <w:pPr>
              <w:spacing w:line="240" w:lineRule="auto"/>
              <w:jc w:val="right"/>
              <w:rPr>
                <w:rFonts w:ascii="Arial" w:hAnsi="Arial" w:cs="Arial"/>
                <w:b/>
                <w:bCs/>
                <w:iCs/>
                <w:lang w:val="en-GB"/>
              </w:rPr>
            </w:pPr>
            <w:r w:rsidRPr="00087C15">
              <w:rPr>
                <w:rFonts w:ascii="Arial" w:hAnsi="Arial" w:cs="Arial"/>
                <w:b/>
                <w:bCs/>
                <w:iCs/>
                <w:lang w:val="en-GB"/>
              </w:rPr>
              <w:t>1</w:t>
            </w:r>
            <w:r>
              <w:rPr>
                <w:rFonts w:ascii="Arial" w:hAnsi="Arial" w:cs="Arial"/>
                <w:b/>
                <w:bCs/>
                <w:iCs/>
                <w:lang w:val="en-GB"/>
              </w:rPr>
              <w:t>71</w:t>
            </w:r>
          </w:p>
        </w:tc>
        <w:tc>
          <w:tcPr>
            <w:tcW w:w="1028" w:type="dxa"/>
            <w:vAlign w:val="center"/>
          </w:tcPr>
          <w:p w:rsidR="000B22DF" w:rsidRPr="00087C15" w:rsidRDefault="000B22DF" w:rsidP="00087C15">
            <w:pPr>
              <w:spacing w:line="240" w:lineRule="auto"/>
              <w:jc w:val="right"/>
              <w:rPr>
                <w:rFonts w:ascii="Arial" w:hAnsi="Arial" w:cs="Arial"/>
                <w:b/>
                <w:bCs/>
                <w:iCs/>
                <w:lang w:val="en-GB"/>
              </w:rPr>
            </w:pPr>
            <w:r w:rsidRPr="00087C15">
              <w:rPr>
                <w:rFonts w:ascii="Arial" w:hAnsi="Arial" w:cs="Arial"/>
                <w:b/>
                <w:bCs/>
                <w:iCs/>
                <w:lang w:val="en-GB"/>
              </w:rPr>
              <w:t>-</w:t>
            </w:r>
          </w:p>
        </w:tc>
        <w:tc>
          <w:tcPr>
            <w:tcW w:w="828" w:type="dxa"/>
            <w:vAlign w:val="center"/>
          </w:tcPr>
          <w:p w:rsidR="000B22DF" w:rsidRPr="00087C15" w:rsidRDefault="000B22DF" w:rsidP="00087C15">
            <w:pPr>
              <w:spacing w:line="240" w:lineRule="auto"/>
              <w:jc w:val="right"/>
              <w:rPr>
                <w:rFonts w:ascii="Arial" w:hAnsi="Arial" w:cs="Arial"/>
                <w:b/>
                <w:bCs/>
                <w:iCs/>
                <w:lang w:val="en-GB"/>
              </w:rPr>
            </w:pPr>
            <w:r w:rsidRPr="00087C15">
              <w:rPr>
                <w:rFonts w:ascii="Arial" w:hAnsi="Arial" w:cs="Arial"/>
                <w:b/>
                <w:bCs/>
                <w:iCs/>
                <w:lang w:val="en-GB"/>
              </w:rPr>
              <w:t>178</w:t>
            </w:r>
          </w:p>
        </w:tc>
        <w:tc>
          <w:tcPr>
            <w:tcW w:w="828" w:type="dxa"/>
            <w:vAlign w:val="center"/>
          </w:tcPr>
          <w:p w:rsidR="000B22DF" w:rsidRPr="00087C15" w:rsidRDefault="000B22DF" w:rsidP="002C0A6A">
            <w:pPr>
              <w:spacing w:line="240" w:lineRule="auto"/>
              <w:jc w:val="right"/>
              <w:rPr>
                <w:rFonts w:ascii="Arial" w:hAnsi="Arial" w:cs="Arial"/>
                <w:b/>
                <w:bCs/>
                <w:iCs/>
                <w:lang w:val="en-GB"/>
              </w:rPr>
            </w:pPr>
            <w:r w:rsidRPr="00087C15">
              <w:rPr>
                <w:rFonts w:ascii="Arial" w:hAnsi="Arial" w:cs="Arial"/>
                <w:b/>
                <w:bCs/>
                <w:iCs/>
                <w:lang w:val="en-GB"/>
              </w:rPr>
              <w:t>41</w:t>
            </w:r>
            <w:r>
              <w:rPr>
                <w:rFonts w:ascii="Arial" w:hAnsi="Arial" w:cs="Arial"/>
                <w:b/>
                <w:bCs/>
                <w:iCs/>
                <w:lang w:val="en-GB"/>
              </w:rPr>
              <w:t>7</w:t>
            </w:r>
          </w:p>
        </w:tc>
        <w:tc>
          <w:tcPr>
            <w:tcW w:w="845" w:type="dxa"/>
            <w:vAlign w:val="center"/>
          </w:tcPr>
          <w:p w:rsidR="000B22DF" w:rsidRPr="00087C15" w:rsidRDefault="000B22DF" w:rsidP="00087C15">
            <w:pPr>
              <w:spacing w:line="240" w:lineRule="auto"/>
              <w:jc w:val="right"/>
              <w:rPr>
                <w:rFonts w:ascii="Arial" w:hAnsi="Arial" w:cs="Arial"/>
                <w:b/>
                <w:bCs/>
                <w:iCs/>
                <w:lang w:val="en-GB"/>
              </w:rPr>
            </w:pPr>
            <w:r w:rsidRPr="00087C15">
              <w:rPr>
                <w:rFonts w:ascii="Arial" w:hAnsi="Arial" w:cs="Arial"/>
                <w:b/>
                <w:bCs/>
                <w:iCs/>
                <w:lang w:val="en-GB"/>
              </w:rPr>
              <w:t>-</w:t>
            </w:r>
          </w:p>
        </w:tc>
      </w:tr>
      <w:tr w:rsidR="000B22DF" w:rsidRPr="00CE206B" w:rsidTr="00324193">
        <w:trPr>
          <w:trHeight w:val="450"/>
          <w:jc w:val="center"/>
        </w:trPr>
        <w:tc>
          <w:tcPr>
            <w:tcW w:w="3362" w:type="dxa"/>
            <w:vAlign w:val="center"/>
          </w:tcPr>
          <w:p w:rsidR="000B22DF" w:rsidRPr="001E1035" w:rsidRDefault="000B22DF" w:rsidP="00087C15">
            <w:pPr>
              <w:spacing w:line="240" w:lineRule="auto"/>
              <w:jc w:val="left"/>
              <w:rPr>
                <w:rFonts w:ascii="Arial" w:hAnsi="Arial" w:cs="Arial"/>
                <w:bCs/>
                <w:iCs/>
                <w:lang w:val="en-GB"/>
              </w:rPr>
            </w:pPr>
            <w:r w:rsidRPr="001E1035">
              <w:rPr>
                <w:rFonts w:ascii="Arial" w:hAnsi="Arial" w:cs="Arial"/>
                <w:bCs/>
                <w:iCs/>
                <w:lang w:val="en-GB"/>
              </w:rPr>
              <w:t>Net Income</w:t>
            </w:r>
          </w:p>
        </w:tc>
        <w:tc>
          <w:tcPr>
            <w:tcW w:w="1028"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(98)</w:t>
            </w:r>
          </w:p>
        </w:tc>
        <w:tc>
          <w:tcPr>
            <w:tcW w:w="1029" w:type="dxa"/>
            <w:vAlign w:val="center"/>
          </w:tcPr>
          <w:p w:rsidR="000B22DF" w:rsidRPr="00087C15" w:rsidRDefault="000B22DF" w:rsidP="002C0A6A">
            <w:pPr>
              <w:spacing w:line="240" w:lineRule="auto"/>
              <w:jc w:val="right"/>
              <w:rPr>
                <w:rFonts w:ascii="Arial" w:hAnsi="Arial" w:cs="Arial"/>
                <w:bCs/>
                <w:iCs/>
                <w:lang w:val="en-GB"/>
              </w:rPr>
            </w:pPr>
            <w:r w:rsidRPr="00087C15">
              <w:rPr>
                <w:rFonts w:ascii="Arial" w:hAnsi="Arial" w:cs="Arial"/>
                <w:bCs/>
                <w:iCs/>
                <w:lang w:val="en-GB"/>
              </w:rPr>
              <w:t>(2</w:t>
            </w:r>
            <w:r>
              <w:rPr>
                <w:rFonts w:ascii="Arial" w:hAnsi="Arial" w:cs="Arial"/>
                <w:bCs/>
                <w:iCs/>
                <w:lang w:val="en-GB"/>
              </w:rPr>
              <w:t>27</w:t>
            </w:r>
            <w:r w:rsidRPr="00087C15">
              <w:rPr>
                <w:rFonts w:ascii="Arial" w:hAnsi="Arial" w:cs="Arial"/>
                <w:bCs/>
                <w:iCs/>
                <w:lang w:val="en-GB"/>
              </w:rPr>
              <w:t>)</w:t>
            </w:r>
          </w:p>
        </w:tc>
        <w:tc>
          <w:tcPr>
            <w:tcW w:w="1028"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w:t>
            </w:r>
          </w:p>
        </w:tc>
        <w:tc>
          <w:tcPr>
            <w:tcW w:w="828"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(269)</w:t>
            </w:r>
          </w:p>
        </w:tc>
        <w:tc>
          <w:tcPr>
            <w:tcW w:w="828" w:type="dxa"/>
            <w:vAlign w:val="center"/>
          </w:tcPr>
          <w:p w:rsidR="000B22DF" w:rsidRPr="00087C15" w:rsidRDefault="000B22DF" w:rsidP="002C0A6A">
            <w:pPr>
              <w:spacing w:line="240" w:lineRule="auto"/>
              <w:jc w:val="right"/>
              <w:rPr>
                <w:rFonts w:ascii="Arial" w:hAnsi="Arial" w:cs="Arial"/>
                <w:bCs/>
                <w:iCs/>
                <w:lang w:val="en-GB"/>
              </w:rPr>
            </w:pPr>
            <w:r w:rsidRPr="00087C15">
              <w:rPr>
                <w:rFonts w:ascii="Arial" w:hAnsi="Arial" w:cs="Arial"/>
                <w:bCs/>
                <w:iCs/>
                <w:lang w:val="en-GB"/>
              </w:rPr>
              <w:t>(3</w:t>
            </w:r>
            <w:r>
              <w:rPr>
                <w:rFonts w:ascii="Arial" w:hAnsi="Arial" w:cs="Arial"/>
                <w:bCs/>
                <w:iCs/>
                <w:lang w:val="en-GB"/>
              </w:rPr>
              <w:t>65</w:t>
            </w:r>
            <w:r w:rsidRPr="00087C15">
              <w:rPr>
                <w:rFonts w:ascii="Arial" w:hAnsi="Arial" w:cs="Arial"/>
                <w:bCs/>
                <w:iCs/>
                <w:lang w:val="en-GB"/>
              </w:rPr>
              <w:t>)</w:t>
            </w:r>
          </w:p>
        </w:tc>
        <w:tc>
          <w:tcPr>
            <w:tcW w:w="845"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w:t>
            </w:r>
          </w:p>
        </w:tc>
      </w:tr>
      <w:tr w:rsidR="000B22DF" w:rsidRPr="001E1035" w:rsidTr="00324193">
        <w:trPr>
          <w:trHeight w:val="450"/>
          <w:jc w:val="center"/>
        </w:trPr>
        <w:tc>
          <w:tcPr>
            <w:tcW w:w="3362" w:type="dxa"/>
            <w:vAlign w:val="center"/>
          </w:tcPr>
          <w:p w:rsidR="000B22DF" w:rsidRPr="001E1035" w:rsidRDefault="000B22DF" w:rsidP="00087C15">
            <w:pPr>
              <w:spacing w:line="240" w:lineRule="auto"/>
              <w:jc w:val="left"/>
              <w:rPr>
                <w:rFonts w:ascii="Arial" w:hAnsi="Arial" w:cs="Arial"/>
                <w:b/>
                <w:bCs/>
                <w:iCs/>
                <w:lang w:val="en-GB"/>
              </w:rPr>
            </w:pPr>
            <w:r w:rsidRPr="001E1035">
              <w:rPr>
                <w:rFonts w:ascii="Arial" w:hAnsi="Arial" w:cs="Arial"/>
                <w:b/>
                <w:bCs/>
                <w:iCs/>
                <w:lang w:val="en-GB"/>
              </w:rPr>
              <w:t xml:space="preserve">Adjusted Net Income </w:t>
            </w:r>
            <w:r w:rsidRPr="001E1035">
              <w:rPr>
                <w:rFonts w:ascii="Arial" w:hAnsi="Arial" w:cs="Arial"/>
                <w:b/>
                <w:bCs/>
                <w:iCs/>
                <w:vertAlign w:val="superscript"/>
                <w:lang w:val="en-GB"/>
              </w:rPr>
              <w:t>1</w:t>
            </w:r>
          </w:p>
        </w:tc>
        <w:tc>
          <w:tcPr>
            <w:tcW w:w="1028" w:type="dxa"/>
            <w:vAlign w:val="center"/>
          </w:tcPr>
          <w:p w:rsidR="000B22DF" w:rsidRPr="00087C15" w:rsidRDefault="000B22DF" w:rsidP="00087C15">
            <w:pPr>
              <w:spacing w:line="240" w:lineRule="auto"/>
              <w:jc w:val="right"/>
              <w:rPr>
                <w:rFonts w:ascii="Arial" w:hAnsi="Arial" w:cs="Arial"/>
                <w:b/>
                <w:bCs/>
                <w:iCs/>
                <w:lang w:val="en-GB"/>
              </w:rPr>
            </w:pPr>
            <w:r w:rsidRPr="00087C15">
              <w:rPr>
                <w:rFonts w:ascii="Arial" w:hAnsi="Arial" w:cs="Arial"/>
                <w:b/>
                <w:bCs/>
                <w:iCs/>
                <w:lang w:val="en-GB"/>
              </w:rPr>
              <w:t>(35)</w:t>
            </w:r>
          </w:p>
        </w:tc>
        <w:tc>
          <w:tcPr>
            <w:tcW w:w="1029" w:type="dxa"/>
            <w:vAlign w:val="center"/>
          </w:tcPr>
          <w:p w:rsidR="000B22DF" w:rsidRPr="00087C15" w:rsidRDefault="000B22DF" w:rsidP="00087C15">
            <w:pPr>
              <w:spacing w:line="240" w:lineRule="auto"/>
              <w:jc w:val="right"/>
              <w:rPr>
                <w:rFonts w:ascii="Arial" w:hAnsi="Arial" w:cs="Arial"/>
                <w:b/>
                <w:bCs/>
                <w:iCs/>
                <w:lang w:val="en-GB"/>
              </w:rPr>
            </w:pPr>
            <w:r w:rsidRPr="00087C15">
              <w:rPr>
                <w:rFonts w:ascii="Arial" w:hAnsi="Arial" w:cs="Arial"/>
                <w:b/>
                <w:bCs/>
                <w:iCs/>
                <w:lang w:val="en-GB"/>
              </w:rPr>
              <w:t>53</w:t>
            </w:r>
          </w:p>
        </w:tc>
        <w:tc>
          <w:tcPr>
            <w:tcW w:w="1028" w:type="dxa"/>
            <w:vAlign w:val="center"/>
          </w:tcPr>
          <w:p w:rsidR="000B22DF" w:rsidRPr="00087C15" w:rsidRDefault="000B22DF" w:rsidP="00087C15">
            <w:pPr>
              <w:spacing w:line="240" w:lineRule="auto"/>
              <w:jc w:val="right"/>
              <w:rPr>
                <w:rFonts w:ascii="Arial" w:hAnsi="Arial" w:cs="Arial"/>
                <w:b/>
                <w:bCs/>
                <w:iCs/>
                <w:lang w:val="en-GB"/>
              </w:rPr>
            </w:pPr>
            <w:r w:rsidRPr="00087C15">
              <w:rPr>
                <w:rFonts w:ascii="Arial" w:hAnsi="Arial" w:cs="Arial"/>
                <w:b/>
                <w:bCs/>
                <w:iCs/>
                <w:lang w:val="en-GB"/>
              </w:rPr>
              <w:t>-</w:t>
            </w:r>
          </w:p>
        </w:tc>
        <w:tc>
          <w:tcPr>
            <w:tcW w:w="828" w:type="dxa"/>
            <w:vAlign w:val="center"/>
          </w:tcPr>
          <w:p w:rsidR="000B22DF" w:rsidRPr="00087C15" w:rsidRDefault="000B22DF" w:rsidP="00087C15">
            <w:pPr>
              <w:spacing w:line="240" w:lineRule="auto"/>
              <w:jc w:val="right"/>
              <w:rPr>
                <w:rFonts w:ascii="Arial" w:hAnsi="Arial" w:cs="Arial"/>
                <w:b/>
                <w:bCs/>
                <w:iCs/>
                <w:lang w:val="en-GB"/>
              </w:rPr>
            </w:pPr>
            <w:r w:rsidRPr="00087C15">
              <w:rPr>
                <w:rFonts w:ascii="Arial" w:hAnsi="Arial" w:cs="Arial"/>
                <w:b/>
                <w:bCs/>
                <w:iCs/>
                <w:lang w:val="en-GB"/>
              </w:rPr>
              <w:t>(117)</w:t>
            </w:r>
          </w:p>
        </w:tc>
        <w:tc>
          <w:tcPr>
            <w:tcW w:w="828" w:type="dxa"/>
            <w:vAlign w:val="center"/>
          </w:tcPr>
          <w:p w:rsidR="000B22DF" w:rsidRPr="00087C15" w:rsidRDefault="000B22DF" w:rsidP="00087C15">
            <w:pPr>
              <w:spacing w:line="240" w:lineRule="auto"/>
              <w:jc w:val="right"/>
              <w:rPr>
                <w:rFonts w:ascii="Arial" w:hAnsi="Arial" w:cs="Arial"/>
                <w:b/>
                <w:bCs/>
                <w:iCs/>
                <w:lang w:val="en-GB"/>
              </w:rPr>
            </w:pPr>
            <w:r>
              <w:rPr>
                <w:rFonts w:ascii="Arial" w:hAnsi="Arial" w:cs="Arial"/>
                <w:b/>
                <w:bCs/>
                <w:iCs/>
                <w:lang w:val="en-GB"/>
              </w:rPr>
              <w:t>5</w:t>
            </w:r>
          </w:p>
        </w:tc>
        <w:tc>
          <w:tcPr>
            <w:tcW w:w="845" w:type="dxa"/>
            <w:vAlign w:val="center"/>
          </w:tcPr>
          <w:p w:rsidR="000B22DF" w:rsidRPr="00087C15" w:rsidRDefault="000B22DF" w:rsidP="00087C15">
            <w:pPr>
              <w:spacing w:line="240" w:lineRule="auto"/>
              <w:jc w:val="right"/>
              <w:rPr>
                <w:rFonts w:ascii="Arial" w:hAnsi="Arial" w:cs="Arial"/>
                <w:b/>
                <w:bCs/>
                <w:iCs/>
                <w:lang w:val="en-GB"/>
              </w:rPr>
            </w:pPr>
            <w:r w:rsidRPr="00087C15">
              <w:rPr>
                <w:rFonts w:ascii="Arial" w:hAnsi="Arial" w:cs="Arial"/>
                <w:b/>
                <w:bCs/>
                <w:iCs/>
                <w:lang w:val="en-GB"/>
              </w:rPr>
              <w:t>-</w:t>
            </w:r>
          </w:p>
        </w:tc>
      </w:tr>
      <w:tr w:rsidR="000B22DF" w:rsidRPr="00CE206B" w:rsidTr="00324193">
        <w:trPr>
          <w:trHeight w:val="450"/>
          <w:jc w:val="center"/>
        </w:trPr>
        <w:tc>
          <w:tcPr>
            <w:tcW w:w="3362" w:type="dxa"/>
            <w:shd w:val="clear" w:color="auto" w:fill="E0E0E0"/>
            <w:vAlign w:val="center"/>
          </w:tcPr>
          <w:p w:rsidR="000B22DF" w:rsidRPr="007C5605" w:rsidRDefault="000B22DF" w:rsidP="00087C15">
            <w:pPr>
              <w:spacing w:line="240" w:lineRule="auto"/>
              <w:jc w:val="left"/>
              <w:rPr>
                <w:rFonts w:ascii="Arial" w:hAnsi="Arial" w:cs="Arial"/>
                <w:bCs/>
                <w:iCs/>
                <w:lang w:val="en-US"/>
              </w:rPr>
            </w:pPr>
            <w:r w:rsidRPr="007C5605">
              <w:rPr>
                <w:rFonts w:ascii="Arial" w:hAnsi="Arial" w:cs="Arial"/>
                <w:b/>
                <w:bCs/>
                <w:lang w:val="en-GB"/>
              </w:rPr>
              <w:t>Balance Sheet Items</w:t>
            </w:r>
          </w:p>
        </w:tc>
        <w:tc>
          <w:tcPr>
            <w:tcW w:w="1028" w:type="dxa"/>
            <w:shd w:val="clear" w:color="auto" w:fill="E0E0E0"/>
            <w:vAlign w:val="center"/>
          </w:tcPr>
          <w:p w:rsidR="000B22DF" w:rsidRPr="007C5605" w:rsidRDefault="000B22DF" w:rsidP="00087C15">
            <w:pPr>
              <w:spacing w:line="240" w:lineRule="auto"/>
              <w:jc w:val="right"/>
              <w:rPr>
                <w:rFonts w:ascii="Arial" w:hAnsi="Arial" w:cs="Arial"/>
              </w:rPr>
            </w:pPr>
          </w:p>
        </w:tc>
        <w:tc>
          <w:tcPr>
            <w:tcW w:w="1029" w:type="dxa"/>
            <w:shd w:val="clear" w:color="auto" w:fill="E0E0E0"/>
            <w:vAlign w:val="center"/>
          </w:tcPr>
          <w:p w:rsidR="000B22DF" w:rsidRPr="007C5605" w:rsidRDefault="000B22DF" w:rsidP="00087C15">
            <w:pPr>
              <w:spacing w:line="240" w:lineRule="auto"/>
              <w:jc w:val="right"/>
              <w:rPr>
                <w:rFonts w:ascii="Arial" w:hAnsi="Arial" w:cs="Arial"/>
              </w:rPr>
            </w:pPr>
          </w:p>
        </w:tc>
        <w:tc>
          <w:tcPr>
            <w:tcW w:w="1028" w:type="dxa"/>
            <w:shd w:val="clear" w:color="auto" w:fill="E0E0E0"/>
            <w:vAlign w:val="center"/>
          </w:tcPr>
          <w:p w:rsidR="000B22DF" w:rsidRPr="007C5605" w:rsidRDefault="000B22DF" w:rsidP="00087C15">
            <w:pPr>
              <w:spacing w:line="240" w:lineRule="auto"/>
              <w:jc w:val="right"/>
              <w:rPr>
                <w:rFonts w:ascii="Arial" w:hAnsi="Arial" w:cs="Arial"/>
                <w:i/>
              </w:rPr>
            </w:pPr>
          </w:p>
        </w:tc>
        <w:tc>
          <w:tcPr>
            <w:tcW w:w="828" w:type="dxa"/>
            <w:shd w:val="clear" w:color="auto" w:fill="E0E0E0"/>
            <w:vAlign w:val="center"/>
          </w:tcPr>
          <w:p w:rsidR="000B22DF" w:rsidRPr="00617635" w:rsidRDefault="000B22DF" w:rsidP="00087C15">
            <w:pPr>
              <w:spacing w:line="240" w:lineRule="auto"/>
              <w:jc w:val="right"/>
              <w:rPr>
                <w:rFonts w:ascii="Arial" w:hAnsi="Arial" w:cs="Arial"/>
                <w:b/>
                <w:bCs/>
                <w:lang w:val="en-GB"/>
              </w:rPr>
            </w:pPr>
          </w:p>
        </w:tc>
        <w:tc>
          <w:tcPr>
            <w:tcW w:w="828" w:type="dxa"/>
            <w:shd w:val="clear" w:color="auto" w:fill="E0E0E0"/>
            <w:vAlign w:val="center"/>
          </w:tcPr>
          <w:p w:rsidR="000B22DF" w:rsidRPr="00617635" w:rsidRDefault="000B22DF" w:rsidP="00087C15">
            <w:pPr>
              <w:spacing w:line="240" w:lineRule="auto"/>
              <w:jc w:val="right"/>
              <w:rPr>
                <w:rFonts w:ascii="Arial" w:hAnsi="Arial" w:cs="Arial"/>
                <w:b/>
                <w:bCs/>
                <w:lang w:val="en-GB"/>
              </w:rPr>
            </w:pPr>
          </w:p>
        </w:tc>
        <w:tc>
          <w:tcPr>
            <w:tcW w:w="845" w:type="dxa"/>
            <w:shd w:val="clear" w:color="auto" w:fill="E0E0E0"/>
            <w:vAlign w:val="center"/>
          </w:tcPr>
          <w:p w:rsidR="000B22DF" w:rsidRPr="0079627C" w:rsidRDefault="000B22DF" w:rsidP="00087C15">
            <w:pPr>
              <w:spacing w:line="240" w:lineRule="auto"/>
              <w:jc w:val="right"/>
              <w:rPr>
                <w:rFonts w:ascii="Arial" w:hAnsi="Arial" w:cs="Arial"/>
                <w:b/>
                <w:bCs/>
                <w:i/>
                <w:sz w:val="18"/>
                <w:lang w:val="en-GB"/>
              </w:rPr>
            </w:pPr>
          </w:p>
        </w:tc>
      </w:tr>
      <w:tr w:rsidR="000B22DF" w:rsidRPr="00D935B5" w:rsidTr="00324193">
        <w:trPr>
          <w:trHeight w:val="450"/>
          <w:jc w:val="center"/>
        </w:trPr>
        <w:tc>
          <w:tcPr>
            <w:tcW w:w="3362" w:type="dxa"/>
            <w:vAlign w:val="center"/>
          </w:tcPr>
          <w:p w:rsidR="000B22DF" w:rsidRPr="007C5605" w:rsidRDefault="000B22DF" w:rsidP="00087C15">
            <w:pPr>
              <w:spacing w:line="240" w:lineRule="auto"/>
              <w:jc w:val="left"/>
              <w:rPr>
                <w:rFonts w:ascii="Arial" w:hAnsi="Arial" w:cs="Arial"/>
                <w:b/>
                <w:bCs/>
                <w:lang w:val="en-GB"/>
              </w:rPr>
            </w:pPr>
            <w:r w:rsidRPr="007C5605">
              <w:rPr>
                <w:rFonts w:ascii="Arial" w:hAnsi="Arial" w:cs="Arial"/>
                <w:bCs/>
                <w:iCs/>
                <w:lang w:val="en-GB"/>
              </w:rPr>
              <w:t>Capital Employed</w:t>
            </w:r>
          </w:p>
        </w:tc>
        <w:tc>
          <w:tcPr>
            <w:tcW w:w="1028" w:type="dxa"/>
            <w:vAlign w:val="center"/>
          </w:tcPr>
          <w:p w:rsidR="000B22DF" w:rsidRPr="00087C15" w:rsidRDefault="000B22DF" w:rsidP="00087C15">
            <w:pPr>
              <w:spacing w:line="240" w:lineRule="auto"/>
              <w:jc w:val="right"/>
              <w:rPr>
                <w:rFonts w:ascii="Arial" w:hAnsi="Arial" w:cs="Arial"/>
                <w:bCs/>
                <w:iCs/>
                <w:lang w:val="en-GB"/>
              </w:rPr>
            </w:pPr>
          </w:p>
        </w:tc>
        <w:tc>
          <w:tcPr>
            <w:tcW w:w="1029" w:type="dxa"/>
            <w:vAlign w:val="center"/>
          </w:tcPr>
          <w:p w:rsidR="000B22DF" w:rsidRPr="00087C15" w:rsidRDefault="000B22DF" w:rsidP="00087C15">
            <w:pPr>
              <w:spacing w:line="240" w:lineRule="auto"/>
              <w:jc w:val="right"/>
              <w:rPr>
                <w:rFonts w:ascii="Arial" w:hAnsi="Arial" w:cs="Arial"/>
                <w:bCs/>
                <w:iCs/>
                <w:lang w:val="en-GB"/>
              </w:rPr>
            </w:pPr>
          </w:p>
        </w:tc>
        <w:tc>
          <w:tcPr>
            <w:tcW w:w="1028" w:type="dxa"/>
            <w:vAlign w:val="center"/>
          </w:tcPr>
          <w:p w:rsidR="000B22DF" w:rsidRPr="00087C15" w:rsidRDefault="000B22DF" w:rsidP="00087C15">
            <w:pPr>
              <w:spacing w:line="240" w:lineRule="auto"/>
              <w:jc w:val="right"/>
              <w:rPr>
                <w:rFonts w:ascii="Arial" w:hAnsi="Arial" w:cs="Arial"/>
                <w:bCs/>
                <w:iCs/>
                <w:lang w:val="en-GB"/>
              </w:rPr>
            </w:pPr>
          </w:p>
        </w:tc>
        <w:tc>
          <w:tcPr>
            <w:tcW w:w="828"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3</w:t>
            </w:r>
            <w:r>
              <w:rPr>
                <w:rFonts w:ascii="Arial" w:hAnsi="Arial" w:cs="Arial"/>
                <w:bCs/>
                <w:iCs/>
                <w:lang w:val="en-GB"/>
              </w:rPr>
              <w:t>,</w:t>
            </w:r>
            <w:r w:rsidRPr="00087C15">
              <w:rPr>
                <w:rFonts w:ascii="Arial" w:hAnsi="Arial" w:cs="Arial"/>
                <w:bCs/>
                <w:iCs/>
                <w:lang w:val="en-GB"/>
              </w:rPr>
              <w:t>905</w:t>
            </w:r>
          </w:p>
        </w:tc>
        <w:tc>
          <w:tcPr>
            <w:tcW w:w="828" w:type="dxa"/>
            <w:vAlign w:val="center"/>
          </w:tcPr>
          <w:p w:rsidR="000B22DF" w:rsidRPr="00087C15" w:rsidRDefault="000B22DF" w:rsidP="002C0A6A">
            <w:pPr>
              <w:spacing w:line="240" w:lineRule="auto"/>
              <w:jc w:val="right"/>
              <w:rPr>
                <w:rFonts w:ascii="Arial" w:hAnsi="Arial" w:cs="Arial"/>
                <w:bCs/>
                <w:iCs/>
                <w:lang w:val="en-GB"/>
              </w:rPr>
            </w:pPr>
            <w:r w:rsidRPr="00087C15">
              <w:rPr>
                <w:rFonts w:ascii="Arial" w:hAnsi="Arial" w:cs="Arial"/>
                <w:bCs/>
                <w:iCs/>
                <w:lang w:val="en-GB"/>
              </w:rPr>
              <w:t>2</w:t>
            </w:r>
            <w:r>
              <w:rPr>
                <w:rFonts w:ascii="Arial" w:hAnsi="Arial" w:cs="Arial"/>
                <w:bCs/>
                <w:iCs/>
                <w:lang w:val="en-GB"/>
              </w:rPr>
              <w:t>,</w:t>
            </w:r>
            <w:r w:rsidRPr="00087C15">
              <w:rPr>
                <w:rFonts w:ascii="Arial" w:hAnsi="Arial" w:cs="Arial"/>
                <w:bCs/>
                <w:iCs/>
                <w:lang w:val="en-GB"/>
              </w:rPr>
              <w:t>87</w:t>
            </w:r>
            <w:r>
              <w:rPr>
                <w:rFonts w:ascii="Arial" w:hAnsi="Arial" w:cs="Arial"/>
                <w:bCs/>
                <w:iCs/>
                <w:lang w:val="en-GB"/>
              </w:rPr>
              <w:t>0</w:t>
            </w:r>
          </w:p>
        </w:tc>
        <w:tc>
          <w:tcPr>
            <w:tcW w:w="845"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-26%</w:t>
            </w:r>
          </w:p>
        </w:tc>
      </w:tr>
      <w:tr w:rsidR="000B22DF" w:rsidRPr="00D935B5" w:rsidTr="00324193">
        <w:trPr>
          <w:trHeight w:val="450"/>
          <w:jc w:val="center"/>
        </w:trPr>
        <w:tc>
          <w:tcPr>
            <w:tcW w:w="3362" w:type="dxa"/>
            <w:vAlign w:val="center"/>
          </w:tcPr>
          <w:p w:rsidR="000B22DF" w:rsidRPr="007C5605" w:rsidRDefault="000B22DF" w:rsidP="00087C15">
            <w:pPr>
              <w:spacing w:line="240" w:lineRule="auto"/>
              <w:jc w:val="left"/>
              <w:rPr>
                <w:rFonts w:ascii="Arial" w:hAnsi="Arial" w:cs="Arial"/>
                <w:bCs/>
                <w:iCs/>
                <w:lang w:val="en-GB"/>
              </w:rPr>
            </w:pPr>
            <w:r w:rsidRPr="007C5605">
              <w:rPr>
                <w:rFonts w:ascii="Arial" w:hAnsi="Arial" w:cs="Arial"/>
                <w:bCs/>
                <w:iCs/>
                <w:lang w:val="en-GB"/>
              </w:rPr>
              <w:t>Net Debt</w:t>
            </w:r>
          </w:p>
        </w:tc>
        <w:tc>
          <w:tcPr>
            <w:tcW w:w="1028" w:type="dxa"/>
            <w:vAlign w:val="center"/>
          </w:tcPr>
          <w:p w:rsidR="000B22DF" w:rsidRPr="007C5605" w:rsidRDefault="000B22DF" w:rsidP="00087C15">
            <w:pPr>
              <w:spacing w:line="240" w:lineRule="auto"/>
              <w:jc w:val="right"/>
              <w:rPr>
                <w:rFonts w:ascii="Arial" w:hAnsi="Arial" w:cs="Arial"/>
                <w:bCs/>
                <w:iCs/>
                <w:lang w:val="en-GB"/>
              </w:rPr>
            </w:pPr>
          </w:p>
        </w:tc>
        <w:tc>
          <w:tcPr>
            <w:tcW w:w="1029" w:type="dxa"/>
            <w:vAlign w:val="center"/>
          </w:tcPr>
          <w:p w:rsidR="000B22DF" w:rsidRPr="00087C15" w:rsidRDefault="000B22DF" w:rsidP="00087C15">
            <w:pPr>
              <w:spacing w:line="240" w:lineRule="auto"/>
              <w:jc w:val="right"/>
              <w:rPr>
                <w:rFonts w:ascii="Arial" w:hAnsi="Arial" w:cs="Arial"/>
                <w:bCs/>
                <w:iCs/>
                <w:lang w:val="en-GB"/>
              </w:rPr>
            </w:pPr>
          </w:p>
        </w:tc>
        <w:tc>
          <w:tcPr>
            <w:tcW w:w="1028" w:type="dxa"/>
            <w:vAlign w:val="center"/>
          </w:tcPr>
          <w:p w:rsidR="000B22DF" w:rsidRPr="00087C15" w:rsidRDefault="000B22DF" w:rsidP="00087C15">
            <w:pPr>
              <w:spacing w:line="240" w:lineRule="auto"/>
              <w:jc w:val="right"/>
              <w:rPr>
                <w:rFonts w:ascii="Arial" w:hAnsi="Arial" w:cs="Arial"/>
                <w:bCs/>
                <w:iCs/>
                <w:lang w:val="en-GB"/>
              </w:rPr>
            </w:pPr>
          </w:p>
        </w:tc>
        <w:tc>
          <w:tcPr>
            <w:tcW w:w="828" w:type="dxa"/>
            <w:vAlign w:val="center"/>
          </w:tcPr>
          <w:p w:rsidR="000B22DF" w:rsidRPr="00087C15" w:rsidRDefault="000B22DF" w:rsidP="00087C15">
            <w:pPr>
              <w:spacing w:line="240" w:lineRule="auto"/>
              <w:jc w:val="right"/>
              <w:rPr>
                <w:rFonts w:ascii="Arial" w:hAnsi="Arial" w:cs="Arial"/>
                <w:bCs/>
                <w:iCs/>
                <w:lang w:val="en-GB"/>
              </w:rPr>
            </w:pPr>
            <w:r>
              <w:rPr>
                <w:rFonts w:ascii="Arial" w:hAnsi="Arial" w:cs="Arial"/>
                <w:bCs/>
                <w:iCs/>
                <w:lang w:val="en-GB"/>
              </w:rPr>
              <w:t>1,</w:t>
            </w:r>
            <w:r w:rsidRPr="00087C15">
              <w:rPr>
                <w:rFonts w:ascii="Arial" w:hAnsi="Arial" w:cs="Arial"/>
                <w:bCs/>
                <w:iCs/>
                <w:lang w:val="en-GB"/>
              </w:rPr>
              <w:t>689</w:t>
            </w:r>
          </w:p>
        </w:tc>
        <w:tc>
          <w:tcPr>
            <w:tcW w:w="828" w:type="dxa"/>
            <w:vAlign w:val="center"/>
          </w:tcPr>
          <w:p w:rsidR="000B22DF" w:rsidRPr="00087C15" w:rsidRDefault="000B22DF" w:rsidP="00087C15">
            <w:pPr>
              <w:spacing w:line="240" w:lineRule="auto"/>
              <w:jc w:val="right"/>
              <w:rPr>
                <w:rFonts w:ascii="Arial" w:hAnsi="Arial" w:cs="Arial"/>
                <w:bCs/>
                <w:iCs/>
                <w:lang w:val="en-GB"/>
              </w:rPr>
            </w:pPr>
            <w:r>
              <w:rPr>
                <w:rFonts w:ascii="Arial" w:hAnsi="Arial" w:cs="Arial"/>
                <w:bCs/>
                <w:iCs/>
                <w:lang w:val="en-GB"/>
              </w:rPr>
              <w:t>1,</w:t>
            </w:r>
            <w:r w:rsidRPr="00087C15">
              <w:rPr>
                <w:rFonts w:ascii="Arial" w:hAnsi="Arial" w:cs="Arial"/>
                <w:bCs/>
                <w:iCs/>
                <w:lang w:val="en-GB"/>
              </w:rPr>
              <w:t>140</w:t>
            </w:r>
          </w:p>
        </w:tc>
        <w:tc>
          <w:tcPr>
            <w:tcW w:w="845" w:type="dxa"/>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-33%</w:t>
            </w:r>
          </w:p>
        </w:tc>
      </w:tr>
      <w:tr w:rsidR="000B22DF" w:rsidRPr="00D935B5" w:rsidTr="00324193">
        <w:trPr>
          <w:trHeight w:val="450"/>
          <w:jc w:val="center"/>
        </w:trPr>
        <w:tc>
          <w:tcPr>
            <w:tcW w:w="3362" w:type="dxa"/>
            <w:tcBorders>
              <w:bottom w:val="single" w:sz="4" w:space="0" w:color="auto"/>
            </w:tcBorders>
            <w:vAlign w:val="center"/>
          </w:tcPr>
          <w:p w:rsidR="000B22DF" w:rsidRPr="007C5605" w:rsidRDefault="000B22DF" w:rsidP="00087C15">
            <w:pPr>
              <w:spacing w:line="240" w:lineRule="auto"/>
              <w:jc w:val="left"/>
              <w:rPr>
                <w:rFonts w:ascii="Arial" w:hAnsi="Arial" w:cs="Arial"/>
                <w:bCs/>
                <w:iCs/>
                <w:lang w:val="en-GB"/>
              </w:rPr>
            </w:pPr>
            <w:r w:rsidRPr="007C5605">
              <w:rPr>
                <w:rFonts w:ascii="Arial" w:hAnsi="Arial" w:cs="Arial"/>
                <w:bCs/>
                <w:iCs/>
                <w:lang w:val="en-GB"/>
              </w:rPr>
              <w:t>Debt Gearing (</w:t>
            </w:r>
            <w:r>
              <w:rPr>
                <w:rFonts w:ascii="Arial" w:hAnsi="Arial" w:cs="Arial"/>
                <w:bCs/>
                <w:iCs/>
                <w:lang w:val="en-GB"/>
              </w:rPr>
              <w:t>N</w:t>
            </w:r>
            <w:r w:rsidRPr="007C5605">
              <w:rPr>
                <w:rFonts w:ascii="Arial" w:hAnsi="Arial" w:cs="Arial"/>
                <w:bCs/>
                <w:iCs/>
                <w:lang w:val="en-GB"/>
              </w:rPr>
              <w:t>D/</w:t>
            </w:r>
            <w:r>
              <w:rPr>
                <w:rFonts w:ascii="Arial" w:hAnsi="Arial" w:cs="Arial"/>
                <w:bCs/>
                <w:iCs/>
                <w:lang w:val="en-GB"/>
              </w:rPr>
              <w:t>N</w:t>
            </w:r>
            <w:r w:rsidRPr="007C5605">
              <w:rPr>
                <w:rFonts w:ascii="Arial" w:hAnsi="Arial" w:cs="Arial"/>
                <w:bCs/>
                <w:iCs/>
                <w:lang w:val="en-GB"/>
              </w:rPr>
              <w:t>D+E)</w:t>
            </w:r>
          </w:p>
        </w:tc>
        <w:tc>
          <w:tcPr>
            <w:tcW w:w="1028" w:type="dxa"/>
            <w:tcBorders>
              <w:bottom w:val="single" w:sz="4" w:space="0" w:color="auto"/>
            </w:tcBorders>
            <w:vAlign w:val="center"/>
          </w:tcPr>
          <w:p w:rsidR="000B22DF" w:rsidRPr="007C5605" w:rsidRDefault="000B22DF" w:rsidP="00087C15">
            <w:pPr>
              <w:spacing w:line="240" w:lineRule="auto"/>
              <w:jc w:val="right"/>
              <w:rPr>
                <w:rFonts w:ascii="Arial" w:hAnsi="Arial" w:cs="Arial"/>
                <w:bCs/>
                <w:iCs/>
                <w:lang w:val="en-GB"/>
              </w:rPr>
            </w:pPr>
          </w:p>
        </w:tc>
        <w:tc>
          <w:tcPr>
            <w:tcW w:w="1029" w:type="dxa"/>
            <w:tcBorders>
              <w:bottom w:val="single" w:sz="4" w:space="0" w:color="auto"/>
            </w:tcBorders>
            <w:vAlign w:val="center"/>
          </w:tcPr>
          <w:p w:rsidR="000B22DF" w:rsidRPr="007C5605" w:rsidRDefault="000B22DF" w:rsidP="00087C15">
            <w:pPr>
              <w:spacing w:line="240" w:lineRule="auto"/>
              <w:jc w:val="right"/>
              <w:rPr>
                <w:rFonts w:ascii="Arial" w:hAnsi="Arial" w:cs="Arial"/>
                <w:bCs/>
                <w:iCs/>
                <w:lang w:val="en-GB"/>
              </w:rPr>
            </w:pPr>
          </w:p>
        </w:tc>
        <w:tc>
          <w:tcPr>
            <w:tcW w:w="1028" w:type="dxa"/>
            <w:tcBorders>
              <w:bottom w:val="single" w:sz="4" w:space="0" w:color="auto"/>
            </w:tcBorders>
            <w:vAlign w:val="center"/>
          </w:tcPr>
          <w:p w:rsidR="000B22DF" w:rsidRPr="00087C15" w:rsidRDefault="000B22DF" w:rsidP="00087C15">
            <w:pPr>
              <w:spacing w:line="240" w:lineRule="auto"/>
              <w:jc w:val="right"/>
              <w:rPr>
                <w:rFonts w:ascii="Arial" w:hAnsi="Arial" w:cs="Arial"/>
                <w:bCs/>
                <w:iCs/>
                <w:lang w:val="en-GB"/>
              </w:rPr>
            </w:pPr>
          </w:p>
        </w:tc>
        <w:tc>
          <w:tcPr>
            <w:tcW w:w="828" w:type="dxa"/>
            <w:tcBorders>
              <w:bottom w:val="single" w:sz="4" w:space="0" w:color="auto"/>
            </w:tcBorders>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43%</w:t>
            </w:r>
          </w:p>
        </w:tc>
        <w:tc>
          <w:tcPr>
            <w:tcW w:w="828" w:type="dxa"/>
            <w:tcBorders>
              <w:bottom w:val="single" w:sz="4" w:space="0" w:color="auto"/>
            </w:tcBorders>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40%</w:t>
            </w:r>
          </w:p>
        </w:tc>
        <w:tc>
          <w:tcPr>
            <w:tcW w:w="845" w:type="dxa"/>
            <w:tcBorders>
              <w:bottom w:val="single" w:sz="4" w:space="0" w:color="auto"/>
            </w:tcBorders>
            <w:vAlign w:val="center"/>
          </w:tcPr>
          <w:p w:rsidR="000B22DF" w:rsidRPr="00087C15" w:rsidRDefault="000B22DF" w:rsidP="00087C15">
            <w:pPr>
              <w:spacing w:line="240" w:lineRule="auto"/>
              <w:jc w:val="right"/>
              <w:rPr>
                <w:rFonts w:ascii="Arial" w:hAnsi="Arial" w:cs="Arial"/>
                <w:bCs/>
                <w:iCs/>
                <w:lang w:val="en-GB"/>
              </w:rPr>
            </w:pPr>
            <w:r w:rsidRPr="00087C15">
              <w:rPr>
                <w:rFonts w:ascii="Arial" w:hAnsi="Arial" w:cs="Arial"/>
                <w:bCs/>
                <w:iCs/>
                <w:lang w:val="en-GB"/>
              </w:rPr>
              <w:t>-</w:t>
            </w:r>
          </w:p>
        </w:tc>
      </w:tr>
    </w:tbl>
    <w:p w:rsidR="000B22DF" w:rsidRDefault="000B22DF" w:rsidP="00DC280D">
      <w:pPr>
        <w:spacing w:before="120" w:line="360" w:lineRule="auto"/>
        <w:rPr>
          <w:rFonts w:ascii="Arial" w:hAnsi="Arial"/>
          <w:i/>
          <w:iCs/>
          <w:sz w:val="18"/>
          <w:szCs w:val="18"/>
          <w:lang w:val="en-GB"/>
        </w:rPr>
      </w:pPr>
    </w:p>
    <w:p w:rsidR="000B22DF" w:rsidRPr="0044377B" w:rsidRDefault="000B22DF" w:rsidP="00DC280D">
      <w:pPr>
        <w:spacing w:before="120" w:line="360" w:lineRule="auto"/>
        <w:rPr>
          <w:rFonts w:ascii="Arial" w:hAnsi="Arial"/>
          <w:i/>
          <w:iCs/>
          <w:sz w:val="18"/>
          <w:szCs w:val="18"/>
          <w:lang w:val="en-GB"/>
        </w:rPr>
      </w:pPr>
      <w:r w:rsidRPr="0044377B">
        <w:rPr>
          <w:rFonts w:ascii="Arial" w:hAnsi="Arial"/>
          <w:i/>
          <w:iCs/>
          <w:sz w:val="18"/>
          <w:szCs w:val="18"/>
          <w:lang w:val="en-GB"/>
        </w:rPr>
        <w:t>Notes:</w:t>
      </w:r>
    </w:p>
    <w:p w:rsidR="000B22DF" w:rsidRPr="0044377B" w:rsidRDefault="000B22DF" w:rsidP="007C2555">
      <w:pPr>
        <w:spacing w:line="360" w:lineRule="auto"/>
        <w:rPr>
          <w:rFonts w:ascii="Arial" w:hAnsi="Arial"/>
          <w:i/>
          <w:iCs/>
          <w:sz w:val="18"/>
          <w:szCs w:val="18"/>
          <w:lang w:val="en-GB"/>
        </w:rPr>
      </w:pPr>
      <w:r w:rsidRPr="0044377B">
        <w:rPr>
          <w:rFonts w:ascii="Arial" w:hAnsi="Arial"/>
          <w:i/>
          <w:iCs/>
          <w:sz w:val="18"/>
          <w:szCs w:val="18"/>
          <w:lang w:val="en-GB"/>
        </w:rPr>
        <w:t xml:space="preserve">1. Calculated as Reported </w:t>
      </w:r>
      <w:r>
        <w:rPr>
          <w:rFonts w:ascii="Arial" w:hAnsi="Arial"/>
          <w:i/>
          <w:iCs/>
          <w:sz w:val="18"/>
          <w:szCs w:val="18"/>
          <w:lang w:val="en-GB"/>
        </w:rPr>
        <w:t>adjusted for</w:t>
      </w:r>
      <w:r w:rsidRPr="0044377B">
        <w:rPr>
          <w:rFonts w:ascii="Arial" w:hAnsi="Arial"/>
          <w:i/>
          <w:iCs/>
          <w:sz w:val="18"/>
          <w:szCs w:val="18"/>
          <w:lang w:val="en-GB"/>
        </w:rPr>
        <w:t xml:space="preserve"> inventory effects and other non-operating items. </w:t>
      </w:r>
    </w:p>
    <w:p w:rsidR="000B22DF" w:rsidRPr="0044377B" w:rsidRDefault="000B22DF" w:rsidP="00ED1955">
      <w:pPr>
        <w:spacing w:line="240" w:lineRule="auto"/>
        <w:outlineLvl w:val="0"/>
        <w:rPr>
          <w:rFonts w:ascii="Arial" w:hAnsi="Arial" w:cs="Arial"/>
          <w:b/>
          <w:lang w:val="en-GB"/>
        </w:rPr>
      </w:pPr>
    </w:p>
    <w:p w:rsidR="000B22DF" w:rsidRPr="0044377B" w:rsidRDefault="000B22DF" w:rsidP="007C2555">
      <w:pPr>
        <w:spacing w:line="360" w:lineRule="auto"/>
        <w:outlineLvl w:val="0"/>
        <w:rPr>
          <w:rFonts w:ascii="Arial" w:hAnsi="Arial" w:cs="Arial"/>
          <w:b/>
          <w:lang w:val="en-GB"/>
        </w:rPr>
      </w:pPr>
      <w:r>
        <w:rPr>
          <w:rFonts w:ascii="Arial" w:hAnsi="Arial" w:cs="Arial"/>
          <w:b/>
          <w:lang w:val="en-GB"/>
        </w:rPr>
        <w:t>Note</w:t>
      </w:r>
      <w:r w:rsidRPr="0044377B">
        <w:rPr>
          <w:rFonts w:ascii="Arial" w:hAnsi="Arial" w:cs="Arial"/>
          <w:b/>
          <w:lang w:val="en-GB"/>
        </w:rPr>
        <w:t xml:space="preserve"> to Editors:</w:t>
      </w:r>
    </w:p>
    <w:p w:rsidR="000B22DF" w:rsidRPr="0044377B" w:rsidRDefault="000B22DF" w:rsidP="007C2555">
      <w:pPr>
        <w:spacing w:line="360" w:lineRule="auto"/>
        <w:rPr>
          <w:rFonts w:ascii="Arial" w:hAnsi="Arial"/>
          <w:lang w:val="en-GB"/>
        </w:rPr>
      </w:pPr>
      <w:r w:rsidRPr="0044377B">
        <w:rPr>
          <w:rFonts w:ascii="Arial" w:hAnsi="Arial" w:cs="Arial"/>
          <w:lang w:val="en-GB"/>
        </w:rPr>
        <w:t>Founded in 1998, Hellenic Petroleum is one of the leading energy groups in South East Europe, with activities spanning across the energy value chain and</w:t>
      </w:r>
      <w:r>
        <w:rPr>
          <w:rFonts w:ascii="Arial" w:hAnsi="Arial" w:cs="Arial"/>
          <w:lang w:val="en-GB"/>
        </w:rPr>
        <w:t xml:space="preserve"> presence</w:t>
      </w:r>
      <w:r w:rsidRPr="0044377B">
        <w:rPr>
          <w:rFonts w:ascii="Arial" w:hAnsi="Arial" w:cs="Arial"/>
          <w:lang w:val="en-GB"/>
        </w:rPr>
        <w:t xml:space="preserve"> in </w:t>
      </w:r>
      <w:r>
        <w:rPr>
          <w:rFonts w:ascii="Arial" w:hAnsi="Arial" w:cs="Arial"/>
          <w:lang w:val="en-GB"/>
        </w:rPr>
        <w:t>7</w:t>
      </w:r>
      <w:r w:rsidRPr="0044377B">
        <w:rPr>
          <w:rFonts w:ascii="Arial" w:hAnsi="Arial" w:cs="Arial"/>
          <w:lang w:val="en-GB"/>
        </w:rPr>
        <w:t>countries.</w:t>
      </w:r>
    </w:p>
    <w:p w:rsidR="000B22DF" w:rsidRPr="0044377B" w:rsidRDefault="000B22DF" w:rsidP="00ED1955">
      <w:pPr>
        <w:spacing w:line="240" w:lineRule="auto"/>
        <w:rPr>
          <w:rFonts w:ascii="Arial" w:hAnsi="Arial"/>
          <w:lang w:val="en-GB"/>
        </w:rPr>
      </w:pPr>
    </w:p>
    <w:p w:rsidR="000B22DF" w:rsidRPr="0044377B" w:rsidRDefault="000B22DF" w:rsidP="00AF7EE5">
      <w:pPr>
        <w:pStyle w:val="BlockText"/>
        <w:snapToGrid w:val="0"/>
        <w:spacing w:line="360" w:lineRule="auto"/>
        <w:ind w:left="0" w:right="0" w:firstLine="0"/>
        <w:rPr>
          <w:rFonts w:cs="Arial"/>
          <w:b/>
          <w:bCs w:val="0"/>
          <w:sz w:val="20"/>
          <w:lang w:val="en-GB"/>
        </w:rPr>
      </w:pPr>
      <w:r w:rsidRPr="0044377B">
        <w:rPr>
          <w:rFonts w:cs="Arial"/>
          <w:b/>
          <w:bCs w:val="0"/>
          <w:sz w:val="20"/>
          <w:lang w:val="en-GB"/>
        </w:rPr>
        <w:t>Further information:</w:t>
      </w:r>
    </w:p>
    <w:p w:rsidR="000B22DF" w:rsidRDefault="000B22DF" w:rsidP="00AF7EE5">
      <w:pPr>
        <w:pStyle w:val="BlockText"/>
        <w:snapToGrid w:val="0"/>
        <w:spacing w:line="240" w:lineRule="auto"/>
        <w:ind w:left="357" w:right="-198" w:hanging="357"/>
        <w:rPr>
          <w:rFonts w:cs="Arial"/>
          <w:sz w:val="20"/>
          <w:lang w:val="en-GB"/>
        </w:rPr>
      </w:pPr>
      <w:r>
        <w:rPr>
          <w:rFonts w:cs="Arial"/>
          <w:sz w:val="20"/>
          <w:lang w:val="en-GB"/>
        </w:rPr>
        <w:t>V. Tsaitas, Investor Relations Officer</w:t>
      </w:r>
    </w:p>
    <w:p w:rsidR="000B22DF" w:rsidRPr="0044377B" w:rsidRDefault="000B22DF" w:rsidP="006F0672">
      <w:pPr>
        <w:pStyle w:val="BlockText"/>
        <w:snapToGrid w:val="0"/>
        <w:spacing w:line="240" w:lineRule="auto"/>
        <w:ind w:left="357" w:right="-198" w:hanging="357"/>
        <w:rPr>
          <w:rFonts w:cs="Arial"/>
          <w:sz w:val="20"/>
          <w:lang w:val="en-GB"/>
        </w:rPr>
      </w:pPr>
      <w:r w:rsidRPr="0044377B">
        <w:rPr>
          <w:rFonts w:cs="Arial"/>
          <w:sz w:val="20"/>
          <w:lang w:val="en-GB"/>
        </w:rPr>
        <w:t xml:space="preserve">Tel.: </w:t>
      </w:r>
      <w:r w:rsidRPr="0044377B">
        <w:rPr>
          <w:rFonts w:cs="Arial"/>
          <w:sz w:val="20"/>
          <w:lang w:val="en-GB"/>
        </w:rPr>
        <w:tab/>
        <w:t>+30-210-6302</w:t>
      </w:r>
      <w:r>
        <w:rPr>
          <w:rFonts w:cs="Arial"/>
          <w:sz w:val="20"/>
          <w:lang w:val="en-GB"/>
        </w:rPr>
        <w:t>399</w:t>
      </w:r>
    </w:p>
    <w:p w:rsidR="000B22DF" w:rsidRDefault="000B22DF" w:rsidP="00AF7EE5">
      <w:pPr>
        <w:pStyle w:val="BlockText"/>
        <w:snapToGrid w:val="0"/>
        <w:spacing w:line="240" w:lineRule="auto"/>
        <w:ind w:left="357" w:right="-198" w:hanging="357"/>
        <w:rPr>
          <w:rFonts w:cs="Arial"/>
          <w:sz w:val="20"/>
          <w:lang w:val="en-GB"/>
        </w:rPr>
      </w:pPr>
      <w:r w:rsidRPr="0044377B">
        <w:rPr>
          <w:rFonts w:cs="Arial"/>
          <w:sz w:val="20"/>
          <w:lang w:val="en-GB"/>
        </w:rPr>
        <w:t>Email:</w:t>
      </w:r>
      <w:r w:rsidRPr="0044377B">
        <w:rPr>
          <w:rFonts w:cs="Arial"/>
          <w:sz w:val="20"/>
          <w:lang w:val="en-GB"/>
        </w:rPr>
        <w:tab/>
      </w:r>
      <w:hyperlink r:id="rId7" w:history="1">
        <w:r w:rsidRPr="007955A9">
          <w:rPr>
            <w:rStyle w:val="Hyperlink"/>
            <w:rFonts w:cs="Arial"/>
            <w:lang w:val="en-GB"/>
          </w:rPr>
          <w:t>vtsaitas@helpe.gr</w:t>
        </w:r>
      </w:hyperlink>
    </w:p>
    <w:p w:rsidR="000B22DF" w:rsidRDefault="000B22DF" w:rsidP="00AF7EE5">
      <w:pPr>
        <w:pStyle w:val="BlockText"/>
        <w:snapToGrid w:val="0"/>
        <w:spacing w:line="240" w:lineRule="auto"/>
        <w:ind w:left="357" w:right="-198" w:hanging="357"/>
        <w:rPr>
          <w:rFonts w:cs="Arial"/>
          <w:sz w:val="20"/>
          <w:lang w:val="en-GB"/>
        </w:rPr>
      </w:pPr>
    </w:p>
    <w:p w:rsidR="000B22DF" w:rsidRPr="0044377B" w:rsidRDefault="000B22DF" w:rsidP="00AF7EE5">
      <w:pPr>
        <w:pStyle w:val="BlockText"/>
        <w:snapToGrid w:val="0"/>
        <w:spacing w:line="240" w:lineRule="auto"/>
        <w:ind w:left="357" w:right="-198" w:hanging="357"/>
        <w:rPr>
          <w:rFonts w:cs="Arial"/>
          <w:sz w:val="20"/>
          <w:lang w:val="en-GB"/>
        </w:rPr>
      </w:pPr>
      <w:r w:rsidRPr="0044377B">
        <w:rPr>
          <w:rFonts w:cs="Arial"/>
          <w:sz w:val="20"/>
          <w:lang w:val="en-GB"/>
        </w:rPr>
        <w:t xml:space="preserve">E. Stranis, </w:t>
      </w:r>
      <w:r>
        <w:rPr>
          <w:rFonts w:cs="Arial"/>
          <w:sz w:val="20"/>
          <w:lang w:val="en-GB"/>
        </w:rPr>
        <w:t xml:space="preserve">Group </w:t>
      </w:r>
      <w:r w:rsidRPr="0044377B">
        <w:rPr>
          <w:rFonts w:cs="Arial"/>
          <w:sz w:val="20"/>
          <w:lang w:val="en-GB"/>
        </w:rPr>
        <w:t>Corporate Affairs Director</w:t>
      </w:r>
    </w:p>
    <w:p w:rsidR="000B22DF" w:rsidRPr="0044377B" w:rsidRDefault="000B22DF" w:rsidP="00AF7EE5">
      <w:pPr>
        <w:pStyle w:val="BlockText"/>
        <w:snapToGrid w:val="0"/>
        <w:spacing w:line="240" w:lineRule="auto"/>
        <w:ind w:left="357" w:right="-198" w:hanging="357"/>
        <w:rPr>
          <w:rFonts w:cs="Arial"/>
          <w:sz w:val="20"/>
          <w:lang w:val="en-GB"/>
        </w:rPr>
      </w:pPr>
      <w:r w:rsidRPr="0044377B">
        <w:rPr>
          <w:rFonts w:cs="Arial"/>
          <w:sz w:val="20"/>
          <w:lang w:val="en-GB"/>
        </w:rPr>
        <w:t xml:space="preserve">Tel.: </w:t>
      </w:r>
      <w:r w:rsidRPr="0044377B">
        <w:rPr>
          <w:rFonts w:cs="Arial"/>
          <w:sz w:val="20"/>
          <w:lang w:val="en-GB"/>
        </w:rPr>
        <w:tab/>
        <w:t>+30-210-6302241</w:t>
      </w:r>
    </w:p>
    <w:p w:rsidR="000B22DF" w:rsidRDefault="000B22DF" w:rsidP="00AF7EE5">
      <w:pPr>
        <w:pStyle w:val="BlockText"/>
        <w:snapToGrid w:val="0"/>
        <w:spacing w:line="240" w:lineRule="auto"/>
        <w:ind w:left="357" w:right="-198" w:hanging="357"/>
        <w:rPr>
          <w:rFonts w:cs="Arial"/>
          <w:lang w:val="en-GB"/>
        </w:rPr>
      </w:pPr>
      <w:r w:rsidRPr="0044377B">
        <w:rPr>
          <w:rFonts w:cs="Arial"/>
          <w:sz w:val="20"/>
          <w:lang w:val="en-GB"/>
        </w:rPr>
        <w:t>Email:</w:t>
      </w:r>
      <w:r w:rsidRPr="0044377B">
        <w:rPr>
          <w:rFonts w:cs="Arial"/>
          <w:sz w:val="20"/>
          <w:lang w:val="en-GB"/>
        </w:rPr>
        <w:tab/>
      </w:r>
      <w:hyperlink r:id="rId8" w:history="1">
        <w:r w:rsidRPr="007955A9">
          <w:rPr>
            <w:rStyle w:val="Hyperlink"/>
            <w:rFonts w:cs="Arial"/>
            <w:lang w:val="en-GB"/>
          </w:rPr>
          <w:t>estranis@helpe.gr</w:t>
        </w:r>
      </w:hyperlink>
    </w:p>
    <w:p w:rsidR="000B22DF" w:rsidRDefault="000B22DF" w:rsidP="00AF7EE5">
      <w:pPr>
        <w:pStyle w:val="BlockText"/>
        <w:snapToGrid w:val="0"/>
        <w:spacing w:line="240" w:lineRule="auto"/>
        <w:ind w:left="357" w:right="-198" w:hanging="357"/>
        <w:rPr>
          <w:rFonts w:cs="Arial"/>
          <w:lang w:val="en-GB"/>
        </w:rPr>
      </w:pPr>
    </w:p>
    <w:p w:rsidR="000B22DF" w:rsidRPr="003601B0" w:rsidRDefault="000B22DF" w:rsidP="00AF7EE5">
      <w:pPr>
        <w:pStyle w:val="BlockText"/>
        <w:snapToGrid w:val="0"/>
        <w:spacing w:line="240" w:lineRule="auto"/>
        <w:ind w:left="357" w:right="-198" w:hanging="357"/>
        <w:rPr>
          <w:rFonts w:cs="Arial"/>
          <w:sz w:val="20"/>
          <w:lang w:val="en-GB"/>
        </w:rPr>
      </w:pPr>
      <w:r w:rsidRPr="003601B0">
        <w:rPr>
          <w:rFonts w:cs="Arial"/>
          <w:sz w:val="20"/>
          <w:lang w:val="en-GB"/>
        </w:rPr>
        <w:t xml:space="preserve">G. Stanitsas, </w:t>
      </w:r>
      <w:r>
        <w:rPr>
          <w:rFonts w:cs="Arial"/>
          <w:sz w:val="20"/>
          <w:lang w:val="en-GB"/>
        </w:rPr>
        <w:t xml:space="preserve">Group </w:t>
      </w:r>
      <w:r w:rsidRPr="003601B0">
        <w:rPr>
          <w:rFonts w:cs="Arial"/>
          <w:sz w:val="20"/>
          <w:lang w:val="en-GB"/>
        </w:rPr>
        <w:t>Communications Director</w:t>
      </w:r>
    </w:p>
    <w:p w:rsidR="000B22DF" w:rsidRPr="0044377B" w:rsidRDefault="000B22DF" w:rsidP="003601B0">
      <w:pPr>
        <w:pStyle w:val="BlockText"/>
        <w:snapToGrid w:val="0"/>
        <w:spacing w:line="240" w:lineRule="auto"/>
        <w:ind w:left="357" w:right="-198" w:hanging="357"/>
        <w:rPr>
          <w:rFonts w:cs="Arial"/>
          <w:sz w:val="20"/>
          <w:lang w:val="en-GB"/>
        </w:rPr>
      </w:pPr>
      <w:r w:rsidRPr="0044377B">
        <w:rPr>
          <w:rFonts w:cs="Arial"/>
          <w:sz w:val="20"/>
          <w:lang w:val="en-GB"/>
        </w:rPr>
        <w:t xml:space="preserve">Tel.: </w:t>
      </w:r>
      <w:r w:rsidRPr="0044377B">
        <w:rPr>
          <w:rFonts w:cs="Arial"/>
          <w:sz w:val="20"/>
          <w:lang w:val="en-GB"/>
        </w:rPr>
        <w:tab/>
        <w:t>+30-210-6302</w:t>
      </w:r>
      <w:r>
        <w:rPr>
          <w:rFonts w:cs="Arial"/>
          <w:sz w:val="20"/>
          <w:lang w:val="en-GB"/>
        </w:rPr>
        <w:t>197</w:t>
      </w:r>
    </w:p>
    <w:p w:rsidR="000B22DF" w:rsidRDefault="000B22DF" w:rsidP="003601B0">
      <w:pPr>
        <w:pStyle w:val="BlockText"/>
        <w:snapToGrid w:val="0"/>
        <w:spacing w:line="240" w:lineRule="auto"/>
        <w:ind w:left="357" w:right="-198" w:hanging="357"/>
        <w:rPr>
          <w:rFonts w:cs="Arial"/>
          <w:lang w:val="en-GB"/>
        </w:rPr>
      </w:pPr>
      <w:r w:rsidRPr="0044377B">
        <w:rPr>
          <w:rFonts w:cs="Arial"/>
          <w:sz w:val="20"/>
          <w:lang w:val="en-GB"/>
        </w:rPr>
        <w:t>Email:</w:t>
      </w:r>
      <w:r w:rsidRPr="0044377B">
        <w:rPr>
          <w:rFonts w:cs="Arial"/>
          <w:sz w:val="20"/>
          <w:lang w:val="en-GB"/>
        </w:rPr>
        <w:tab/>
      </w:r>
      <w:hyperlink r:id="rId9" w:history="1">
        <w:r w:rsidRPr="002423EF">
          <w:rPr>
            <w:rStyle w:val="Hyperlink"/>
            <w:rFonts w:cs="Arial"/>
            <w:lang w:val="en-GB"/>
          </w:rPr>
          <w:t>gstanitsas@helpe.gr</w:t>
        </w:r>
      </w:hyperlink>
    </w:p>
    <w:sectPr w:rsidR="000B22DF" w:rsidSect="00473492">
      <w:headerReference w:type="default" r:id="rId10"/>
      <w:footerReference w:type="even" r:id="rId11"/>
      <w:footerReference w:type="default" r:id="rId12"/>
      <w:headerReference w:type="first" r:id="rId13"/>
      <w:footerReference w:type="first" r:id="rId14"/>
      <w:pgSz w:w="11907" w:h="16840" w:code="9"/>
      <w:pgMar w:top="1134" w:right="1361" w:bottom="851" w:left="136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2DF" w:rsidRDefault="000B22DF">
      <w:r>
        <w:separator/>
      </w:r>
    </w:p>
  </w:endnote>
  <w:endnote w:type="continuationSeparator" w:id="1">
    <w:p w:rsidR="000B22DF" w:rsidRDefault="000B2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Uc?£H£d"/>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Frutiger 55 Roman">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DF" w:rsidRDefault="000B22DF" w:rsidP="00925E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22DF" w:rsidRDefault="000B22DF" w:rsidP="00B816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DF" w:rsidRPr="0004128D" w:rsidRDefault="000B22DF" w:rsidP="00925EF6">
    <w:pPr>
      <w:pStyle w:val="Footer"/>
      <w:framePr w:wrap="around" w:vAnchor="text" w:hAnchor="margin" w:xAlign="right" w:y="1"/>
      <w:rPr>
        <w:rStyle w:val="PageNumber"/>
        <w:rFonts w:ascii="Arial" w:hAnsi="Arial"/>
        <w:sz w:val="16"/>
        <w:szCs w:val="16"/>
      </w:rPr>
    </w:pPr>
    <w:r w:rsidRPr="0004128D">
      <w:rPr>
        <w:rStyle w:val="PageNumber"/>
        <w:rFonts w:ascii="Arial" w:hAnsi="Arial"/>
        <w:sz w:val="16"/>
        <w:szCs w:val="16"/>
      </w:rPr>
      <w:fldChar w:fldCharType="begin"/>
    </w:r>
    <w:r w:rsidRPr="0004128D">
      <w:rPr>
        <w:rStyle w:val="PageNumber"/>
        <w:rFonts w:ascii="Arial" w:hAnsi="Arial"/>
        <w:sz w:val="16"/>
        <w:szCs w:val="16"/>
      </w:rPr>
      <w:instrText xml:space="preserve">PAGE  </w:instrText>
    </w:r>
    <w:r w:rsidRPr="0004128D">
      <w:rPr>
        <w:rStyle w:val="PageNumber"/>
        <w:rFonts w:ascii="Arial" w:hAnsi="Arial"/>
        <w:sz w:val="16"/>
        <w:szCs w:val="16"/>
      </w:rPr>
      <w:fldChar w:fldCharType="separate"/>
    </w:r>
    <w:r>
      <w:rPr>
        <w:rStyle w:val="PageNumber"/>
        <w:rFonts w:ascii="Arial" w:hAnsi="Arial"/>
        <w:noProof/>
        <w:sz w:val="16"/>
        <w:szCs w:val="16"/>
      </w:rPr>
      <w:t>5</w:t>
    </w:r>
    <w:r w:rsidRPr="0004128D">
      <w:rPr>
        <w:rStyle w:val="PageNumber"/>
        <w:rFonts w:ascii="Arial" w:hAnsi="Arial"/>
        <w:sz w:val="16"/>
        <w:szCs w:val="16"/>
      </w:rPr>
      <w:fldChar w:fldCharType="end"/>
    </w:r>
  </w:p>
  <w:p w:rsidR="000B22DF" w:rsidRDefault="000B22DF" w:rsidP="00B816E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DF" w:rsidRPr="0004128D" w:rsidRDefault="000B22DF" w:rsidP="0004128D">
    <w:pPr>
      <w:pStyle w:val="Footer"/>
      <w:jc w:val="right"/>
      <w:rPr>
        <w:rFonts w:ascii="Arial" w:hAnsi="Arial"/>
        <w:sz w:val="16"/>
        <w:szCs w:val="16"/>
      </w:rPr>
    </w:pPr>
    <w:r w:rsidRPr="0004128D">
      <w:rPr>
        <w:rStyle w:val="PageNumber"/>
        <w:rFonts w:ascii="Arial" w:hAnsi="Arial"/>
        <w:sz w:val="16"/>
        <w:szCs w:val="16"/>
      </w:rPr>
      <w:fldChar w:fldCharType="begin"/>
    </w:r>
    <w:r w:rsidRPr="0004128D">
      <w:rPr>
        <w:rStyle w:val="PageNumber"/>
        <w:rFonts w:ascii="Arial" w:hAnsi="Arial"/>
        <w:sz w:val="16"/>
        <w:szCs w:val="16"/>
      </w:rPr>
      <w:instrText xml:space="preserve"> PAGE </w:instrText>
    </w:r>
    <w:r w:rsidRPr="0004128D">
      <w:rPr>
        <w:rStyle w:val="PageNumber"/>
        <w:rFonts w:ascii="Arial" w:hAnsi="Arial"/>
        <w:sz w:val="16"/>
        <w:szCs w:val="16"/>
      </w:rPr>
      <w:fldChar w:fldCharType="separate"/>
    </w:r>
    <w:r>
      <w:rPr>
        <w:rStyle w:val="PageNumber"/>
        <w:rFonts w:ascii="Arial" w:hAnsi="Arial"/>
        <w:noProof/>
        <w:sz w:val="16"/>
        <w:szCs w:val="16"/>
      </w:rPr>
      <w:t>1</w:t>
    </w:r>
    <w:r w:rsidRPr="0004128D">
      <w:rPr>
        <w:rStyle w:val="PageNumber"/>
        <w:rFonts w:ascii="Arial" w:hAnsi="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2DF" w:rsidRDefault="000B22DF">
      <w:r>
        <w:separator/>
      </w:r>
    </w:p>
  </w:footnote>
  <w:footnote w:type="continuationSeparator" w:id="1">
    <w:p w:rsidR="000B22DF" w:rsidRDefault="000B2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DF" w:rsidRDefault="000B22DF" w:rsidP="009B0A14">
    <w:pPr>
      <w:framePr w:w="10949" w:h="737" w:hRule="exact" w:hSpace="181" w:wrap="around" w:vAnchor="page" w:hAnchor="page" w:x="852" w:yAlign="bottom"/>
      <w:spacing w:line="40" w:lineRule="exact"/>
      <w:rPr>
        <w:sz w:val="4"/>
      </w:rPr>
    </w:pPr>
  </w:p>
  <w:tbl>
    <w:tblPr>
      <w:tblW w:w="9072" w:type="dxa"/>
      <w:tblLayout w:type="fixed"/>
      <w:tblCellMar>
        <w:left w:w="0" w:type="dxa"/>
        <w:right w:w="0" w:type="dxa"/>
      </w:tblCellMar>
      <w:tblLook w:val="0000"/>
    </w:tblPr>
    <w:tblGrid>
      <w:gridCol w:w="9072"/>
    </w:tblGrid>
    <w:tr w:rsidR="000B22DF">
      <w:trPr>
        <w:trHeight w:hRule="exact" w:val="543"/>
      </w:trPr>
      <w:tc>
        <w:tcPr>
          <w:tcW w:w="9072" w:type="dxa"/>
          <w:vAlign w:val="bottom"/>
        </w:tcPr>
        <w:p w:rsidR="000B22DF" w:rsidRDefault="000B22DF" w:rsidP="00E757C0">
          <w:pPr>
            <w:pStyle w:val="Header"/>
            <w:tabs>
              <w:tab w:val="right" w:pos="9894"/>
            </w:tabs>
            <w:spacing w:after="360"/>
            <w:rPr>
              <w:rFonts w:ascii="Frutiger 55 Roman" w:hAnsi="Frutiger 55 Roman"/>
              <w:b/>
            </w:rPr>
          </w:pPr>
          <w:r>
            <w:rPr>
              <w:noProof/>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elpengri" style="position:absolute;left:0;text-align:left;margin-left:387pt;margin-top:-8pt;width:66.25pt;height:20.25pt;z-index:251660288;visibility:visible">
                <v:imagedata r:id="rId1" o:title=""/>
                <w10:wrap type="square"/>
              </v:shape>
            </w:pict>
          </w:r>
        </w:p>
      </w:tc>
    </w:tr>
  </w:tbl>
  <w:p w:rsidR="000B22DF" w:rsidRDefault="000B22DF" w:rsidP="00E757C0">
    <w:pPr>
      <w:pStyle w:val="Header"/>
      <w:spacing w:after="12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DF" w:rsidRDefault="000B22DF">
    <w:pPr>
      <w:pStyle w:val="Header"/>
    </w:pPr>
    <w:r>
      <w:rPr>
        <w:noProof/>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LOGO PRIMARY BMP" style="position:absolute;left:0;text-align:left;margin-left:0;margin-top:7pt;width:112.5pt;height:69pt;z-index:251662336;visibility:visible;mso-position-horizontal:center">
          <v:imagedata r:id="rId1" o:title=""/>
          <w10:wrap type="square"/>
        </v:shape>
      </w:pict>
    </w:r>
  </w:p>
  <w:p w:rsidR="000B22DF" w:rsidRDefault="000B22DF">
    <w:pPr>
      <w:pStyle w:val="Header"/>
    </w:pPr>
  </w:p>
  <w:p w:rsidR="000B22DF" w:rsidRDefault="000B22DF">
    <w:pPr>
      <w:pStyle w:val="Header"/>
    </w:pPr>
  </w:p>
  <w:p w:rsidR="000B22DF" w:rsidRDefault="000B22DF">
    <w:pPr>
      <w:pStyle w:val="Header"/>
    </w:pPr>
  </w:p>
  <w:p w:rsidR="000B22DF" w:rsidRDefault="000B22DF">
    <w:pPr>
      <w:pStyle w:val="Header"/>
    </w:pPr>
  </w:p>
  <w:p w:rsidR="000B22DF" w:rsidRPr="0050058B" w:rsidRDefault="000B22DF" w:rsidP="0050058B">
    <w:pPr>
      <w:pStyle w:val="Header"/>
      <w:spacing w:line="240" w:lineRule="auto"/>
      <w:jc w:val="cent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32A"/>
    <w:multiLevelType w:val="hybridMultilevel"/>
    <w:tmpl w:val="2A9ADBBC"/>
    <w:lvl w:ilvl="0" w:tplc="6518B80C">
      <w:start w:val="1"/>
      <w:numFmt w:val="lowerLetter"/>
      <w:pStyle w:val="Bullet01"/>
      <w:lvlText w:val="(%1)"/>
      <w:lvlJc w:val="left"/>
      <w:pPr>
        <w:tabs>
          <w:tab w:val="num" w:pos="720"/>
        </w:tabs>
        <w:ind w:left="720" w:hanging="360"/>
      </w:pPr>
      <w:rPr>
        <w:rFonts w:ascii="Times New Roman" w:eastAsia="Times New Roman" w:hAnsi="Times New Roman" w:cs="Times New Roman"/>
      </w:rPr>
    </w:lvl>
    <w:lvl w:ilvl="1" w:tplc="BB8A1D06">
      <w:start w:val="1"/>
      <w:numFmt w:val="bullet"/>
      <w:pStyle w:val="Bullet02"/>
      <w:lvlText w:val="-"/>
      <w:lvlJc w:val="left"/>
      <w:pPr>
        <w:tabs>
          <w:tab w:val="num" w:pos="1440"/>
        </w:tabs>
        <w:ind w:left="1440" w:hanging="360"/>
      </w:pPr>
      <w:rPr>
        <w:rFonts w:ascii="Times New Roman" w:eastAsia="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40D14"/>
    <w:multiLevelType w:val="hybridMultilevel"/>
    <w:tmpl w:val="C9F67774"/>
    <w:lvl w:ilvl="0" w:tplc="2514CD4E">
      <w:start w:val="1"/>
      <w:numFmt w:val="bullet"/>
      <w:lvlText w:val="­"/>
      <w:lvlJc w:val="left"/>
      <w:pPr>
        <w:tabs>
          <w:tab w:val="num" w:pos="360"/>
        </w:tabs>
        <w:ind w:left="360" w:hanging="360"/>
      </w:pPr>
      <w:rPr>
        <w:rFonts w:ascii="Courier New" w:hAnsi="Courier New" w:hint="default"/>
      </w:rPr>
    </w:lvl>
    <w:lvl w:ilvl="1" w:tplc="04080003" w:tentative="1">
      <w:start w:val="1"/>
      <w:numFmt w:val="bullet"/>
      <w:lvlText w:val="o"/>
      <w:lvlJc w:val="left"/>
      <w:pPr>
        <w:tabs>
          <w:tab w:val="num" w:pos="360"/>
        </w:tabs>
        <w:ind w:left="360" w:hanging="360"/>
      </w:pPr>
      <w:rPr>
        <w:rFonts w:ascii="Courier New" w:hAnsi="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2">
    <w:nsid w:val="184E0E11"/>
    <w:multiLevelType w:val="hybridMultilevel"/>
    <w:tmpl w:val="ABF8D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0301792"/>
    <w:multiLevelType w:val="hybridMultilevel"/>
    <w:tmpl w:val="CDE428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7E5786"/>
    <w:multiLevelType w:val="hybridMultilevel"/>
    <w:tmpl w:val="CCC2C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976FC1"/>
    <w:multiLevelType w:val="hybridMultilevel"/>
    <w:tmpl w:val="1C6E0266"/>
    <w:lvl w:ilvl="0" w:tplc="2514CD4E">
      <w:start w:val="1"/>
      <w:numFmt w:val="bullet"/>
      <w:lvlText w:val="­"/>
      <w:lvlJc w:val="left"/>
      <w:pPr>
        <w:tabs>
          <w:tab w:val="num" w:pos="360"/>
        </w:tabs>
        <w:ind w:left="360" w:hanging="360"/>
      </w:pPr>
      <w:rPr>
        <w:rFonts w:ascii="Courier New" w:hAnsi="Courier New" w:hint="default"/>
      </w:rPr>
    </w:lvl>
    <w:lvl w:ilvl="1" w:tplc="04080003" w:tentative="1">
      <w:start w:val="1"/>
      <w:numFmt w:val="bullet"/>
      <w:lvlText w:val="o"/>
      <w:lvlJc w:val="left"/>
      <w:pPr>
        <w:tabs>
          <w:tab w:val="num" w:pos="360"/>
        </w:tabs>
        <w:ind w:left="360" w:hanging="360"/>
      </w:pPr>
      <w:rPr>
        <w:rFonts w:ascii="Courier New" w:hAnsi="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6">
    <w:nsid w:val="558A63E6"/>
    <w:multiLevelType w:val="hybridMultilevel"/>
    <w:tmpl w:val="650CE4A4"/>
    <w:lvl w:ilvl="0" w:tplc="2514CD4E">
      <w:start w:val="1"/>
      <w:numFmt w:val="bullet"/>
      <w:lvlText w:val="­"/>
      <w:lvlJc w:val="left"/>
      <w:pPr>
        <w:tabs>
          <w:tab w:val="num" w:pos="360"/>
        </w:tabs>
        <w:ind w:left="360" w:hanging="360"/>
      </w:pPr>
      <w:rPr>
        <w:rFonts w:ascii="Courier New" w:hAnsi="Courier New" w:hint="default"/>
      </w:rPr>
    </w:lvl>
    <w:lvl w:ilvl="1" w:tplc="04080003">
      <w:start w:val="1"/>
      <w:numFmt w:val="bullet"/>
      <w:lvlText w:val="o"/>
      <w:lvlJc w:val="left"/>
      <w:pPr>
        <w:tabs>
          <w:tab w:val="num" w:pos="360"/>
        </w:tabs>
        <w:ind w:left="360" w:hanging="360"/>
      </w:pPr>
      <w:rPr>
        <w:rFonts w:ascii="Courier New" w:hAnsi="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7">
    <w:nsid w:val="583D6712"/>
    <w:multiLevelType w:val="hybridMultilevel"/>
    <w:tmpl w:val="CB2E5226"/>
    <w:lvl w:ilvl="0" w:tplc="D3A4BB54">
      <w:start w:val="1"/>
      <w:numFmt w:val="bullet"/>
      <w:lvlText w:val="•"/>
      <w:lvlJc w:val="left"/>
      <w:pPr>
        <w:tabs>
          <w:tab w:val="num" w:pos="720"/>
        </w:tabs>
        <w:ind w:left="720" w:hanging="360"/>
      </w:pPr>
      <w:rPr>
        <w:rFonts w:ascii="Times New Roman" w:hAnsi="Times New Roman" w:hint="default"/>
      </w:rPr>
    </w:lvl>
    <w:lvl w:ilvl="1" w:tplc="FBBAC40A">
      <w:start w:val="1"/>
      <w:numFmt w:val="bullet"/>
      <w:lvlText w:val="•"/>
      <w:lvlJc w:val="left"/>
      <w:pPr>
        <w:tabs>
          <w:tab w:val="num" w:pos="1440"/>
        </w:tabs>
        <w:ind w:left="1440" w:hanging="360"/>
      </w:pPr>
      <w:rPr>
        <w:rFonts w:ascii="Times New Roman" w:hAnsi="Times New Roman" w:hint="default"/>
      </w:rPr>
    </w:lvl>
    <w:lvl w:ilvl="2" w:tplc="6E74CF7E" w:tentative="1">
      <w:start w:val="1"/>
      <w:numFmt w:val="bullet"/>
      <w:lvlText w:val="•"/>
      <w:lvlJc w:val="left"/>
      <w:pPr>
        <w:tabs>
          <w:tab w:val="num" w:pos="2160"/>
        </w:tabs>
        <w:ind w:left="2160" w:hanging="360"/>
      </w:pPr>
      <w:rPr>
        <w:rFonts w:ascii="Times New Roman" w:hAnsi="Times New Roman" w:hint="default"/>
      </w:rPr>
    </w:lvl>
    <w:lvl w:ilvl="3" w:tplc="A5E6E5CA" w:tentative="1">
      <w:start w:val="1"/>
      <w:numFmt w:val="bullet"/>
      <w:lvlText w:val="•"/>
      <w:lvlJc w:val="left"/>
      <w:pPr>
        <w:tabs>
          <w:tab w:val="num" w:pos="2880"/>
        </w:tabs>
        <w:ind w:left="2880" w:hanging="360"/>
      </w:pPr>
      <w:rPr>
        <w:rFonts w:ascii="Times New Roman" w:hAnsi="Times New Roman" w:hint="default"/>
      </w:rPr>
    </w:lvl>
    <w:lvl w:ilvl="4" w:tplc="1B0CFCAC" w:tentative="1">
      <w:start w:val="1"/>
      <w:numFmt w:val="bullet"/>
      <w:lvlText w:val="•"/>
      <w:lvlJc w:val="left"/>
      <w:pPr>
        <w:tabs>
          <w:tab w:val="num" w:pos="3600"/>
        </w:tabs>
        <w:ind w:left="3600" w:hanging="360"/>
      </w:pPr>
      <w:rPr>
        <w:rFonts w:ascii="Times New Roman" w:hAnsi="Times New Roman" w:hint="default"/>
      </w:rPr>
    </w:lvl>
    <w:lvl w:ilvl="5" w:tplc="DD605328" w:tentative="1">
      <w:start w:val="1"/>
      <w:numFmt w:val="bullet"/>
      <w:lvlText w:val="•"/>
      <w:lvlJc w:val="left"/>
      <w:pPr>
        <w:tabs>
          <w:tab w:val="num" w:pos="4320"/>
        </w:tabs>
        <w:ind w:left="4320" w:hanging="360"/>
      </w:pPr>
      <w:rPr>
        <w:rFonts w:ascii="Times New Roman" w:hAnsi="Times New Roman" w:hint="default"/>
      </w:rPr>
    </w:lvl>
    <w:lvl w:ilvl="6" w:tplc="9274E630" w:tentative="1">
      <w:start w:val="1"/>
      <w:numFmt w:val="bullet"/>
      <w:lvlText w:val="•"/>
      <w:lvlJc w:val="left"/>
      <w:pPr>
        <w:tabs>
          <w:tab w:val="num" w:pos="5040"/>
        </w:tabs>
        <w:ind w:left="5040" w:hanging="360"/>
      </w:pPr>
      <w:rPr>
        <w:rFonts w:ascii="Times New Roman" w:hAnsi="Times New Roman" w:hint="default"/>
      </w:rPr>
    </w:lvl>
    <w:lvl w:ilvl="7" w:tplc="575E11E4" w:tentative="1">
      <w:start w:val="1"/>
      <w:numFmt w:val="bullet"/>
      <w:lvlText w:val="•"/>
      <w:lvlJc w:val="left"/>
      <w:pPr>
        <w:tabs>
          <w:tab w:val="num" w:pos="5760"/>
        </w:tabs>
        <w:ind w:left="5760" w:hanging="360"/>
      </w:pPr>
      <w:rPr>
        <w:rFonts w:ascii="Times New Roman" w:hAnsi="Times New Roman" w:hint="default"/>
      </w:rPr>
    </w:lvl>
    <w:lvl w:ilvl="8" w:tplc="D9EA75F2" w:tentative="1">
      <w:start w:val="1"/>
      <w:numFmt w:val="bullet"/>
      <w:lvlText w:val="•"/>
      <w:lvlJc w:val="left"/>
      <w:pPr>
        <w:tabs>
          <w:tab w:val="num" w:pos="6480"/>
        </w:tabs>
        <w:ind w:left="6480" w:hanging="360"/>
      </w:pPr>
      <w:rPr>
        <w:rFonts w:ascii="Times New Roman" w:hAnsi="Times New Roman" w:hint="default"/>
      </w:rPr>
    </w:lvl>
  </w:abstractNum>
  <w:abstractNum w:abstractNumId="8">
    <w:nsid w:val="58A16D66"/>
    <w:multiLevelType w:val="hybridMultilevel"/>
    <w:tmpl w:val="5AD2ACDE"/>
    <w:lvl w:ilvl="0" w:tplc="38ACA9DE">
      <w:start w:val="1"/>
      <w:numFmt w:val="bullet"/>
      <w:lvlText w:val="•"/>
      <w:lvlJc w:val="left"/>
      <w:pPr>
        <w:tabs>
          <w:tab w:val="num" w:pos="720"/>
        </w:tabs>
        <w:ind w:left="720" w:hanging="360"/>
      </w:pPr>
      <w:rPr>
        <w:rFonts w:ascii="Times New Roman" w:hAnsi="Times New Roman" w:hint="default"/>
      </w:rPr>
    </w:lvl>
    <w:lvl w:ilvl="1" w:tplc="35BE0082">
      <w:start w:val="1"/>
      <w:numFmt w:val="bullet"/>
      <w:lvlText w:val="•"/>
      <w:lvlJc w:val="left"/>
      <w:pPr>
        <w:tabs>
          <w:tab w:val="num" w:pos="1440"/>
        </w:tabs>
        <w:ind w:left="1440" w:hanging="360"/>
      </w:pPr>
      <w:rPr>
        <w:rFonts w:ascii="Times New Roman" w:hAnsi="Times New Roman" w:hint="default"/>
      </w:rPr>
    </w:lvl>
    <w:lvl w:ilvl="2" w:tplc="CB528152" w:tentative="1">
      <w:start w:val="1"/>
      <w:numFmt w:val="bullet"/>
      <w:lvlText w:val="•"/>
      <w:lvlJc w:val="left"/>
      <w:pPr>
        <w:tabs>
          <w:tab w:val="num" w:pos="2160"/>
        </w:tabs>
        <w:ind w:left="2160" w:hanging="360"/>
      </w:pPr>
      <w:rPr>
        <w:rFonts w:ascii="Times New Roman" w:hAnsi="Times New Roman" w:hint="default"/>
      </w:rPr>
    </w:lvl>
    <w:lvl w:ilvl="3" w:tplc="8B74890A" w:tentative="1">
      <w:start w:val="1"/>
      <w:numFmt w:val="bullet"/>
      <w:lvlText w:val="•"/>
      <w:lvlJc w:val="left"/>
      <w:pPr>
        <w:tabs>
          <w:tab w:val="num" w:pos="2880"/>
        </w:tabs>
        <w:ind w:left="2880" w:hanging="360"/>
      </w:pPr>
      <w:rPr>
        <w:rFonts w:ascii="Times New Roman" w:hAnsi="Times New Roman" w:hint="default"/>
      </w:rPr>
    </w:lvl>
    <w:lvl w:ilvl="4" w:tplc="B3F2DF38" w:tentative="1">
      <w:start w:val="1"/>
      <w:numFmt w:val="bullet"/>
      <w:lvlText w:val="•"/>
      <w:lvlJc w:val="left"/>
      <w:pPr>
        <w:tabs>
          <w:tab w:val="num" w:pos="3600"/>
        </w:tabs>
        <w:ind w:left="3600" w:hanging="360"/>
      </w:pPr>
      <w:rPr>
        <w:rFonts w:ascii="Times New Roman" w:hAnsi="Times New Roman" w:hint="default"/>
      </w:rPr>
    </w:lvl>
    <w:lvl w:ilvl="5" w:tplc="093A5D04" w:tentative="1">
      <w:start w:val="1"/>
      <w:numFmt w:val="bullet"/>
      <w:lvlText w:val="•"/>
      <w:lvlJc w:val="left"/>
      <w:pPr>
        <w:tabs>
          <w:tab w:val="num" w:pos="4320"/>
        </w:tabs>
        <w:ind w:left="4320" w:hanging="360"/>
      </w:pPr>
      <w:rPr>
        <w:rFonts w:ascii="Times New Roman" w:hAnsi="Times New Roman" w:hint="default"/>
      </w:rPr>
    </w:lvl>
    <w:lvl w:ilvl="6" w:tplc="D682E5F4" w:tentative="1">
      <w:start w:val="1"/>
      <w:numFmt w:val="bullet"/>
      <w:lvlText w:val="•"/>
      <w:lvlJc w:val="left"/>
      <w:pPr>
        <w:tabs>
          <w:tab w:val="num" w:pos="5040"/>
        </w:tabs>
        <w:ind w:left="5040" w:hanging="360"/>
      </w:pPr>
      <w:rPr>
        <w:rFonts w:ascii="Times New Roman" w:hAnsi="Times New Roman" w:hint="default"/>
      </w:rPr>
    </w:lvl>
    <w:lvl w:ilvl="7" w:tplc="78585AB0" w:tentative="1">
      <w:start w:val="1"/>
      <w:numFmt w:val="bullet"/>
      <w:lvlText w:val="•"/>
      <w:lvlJc w:val="left"/>
      <w:pPr>
        <w:tabs>
          <w:tab w:val="num" w:pos="5760"/>
        </w:tabs>
        <w:ind w:left="5760" w:hanging="360"/>
      </w:pPr>
      <w:rPr>
        <w:rFonts w:ascii="Times New Roman" w:hAnsi="Times New Roman" w:hint="default"/>
      </w:rPr>
    </w:lvl>
    <w:lvl w:ilvl="8" w:tplc="6850582A" w:tentative="1">
      <w:start w:val="1"/>
      <w:numFmt w:val="bullet"/>
      <w:lvlText w:val="•"/>
      <w:lvlJc w:val="left"/>
      <w:pPr>
        <w:tabs>
          <w:tab w:val="num" w:pos="6480"/>
        </w:tabs>
        <w:ind w:left="6480" w:hanging="360"/>
      </w:pPr>
      <w:rPr>
        <w:rFonts w:ascii="Times New Roman" w:hAnsi="Times New Roman" w:hint="default"/>
      </w:rPr>
    </w:lvl>
  </w:abstractNum>
  <w:abstractNum w:abstractNumId="9">
    <w:nsid w:val="7EAE354B"/>
    <w:multiLevelType w:val="hybridMultilevel"/>
    <w:tmpl w:val="52E21906"/>
    <w:lvl w:ilvl="0" w:tplc="2514CD4E">
      <w:start w:val="1"/>
      <w:numFmt w:val="bullet"/>
      <w:lvlText w:val="­"/>
      <w:lvlJc w:val="left"/>
      <w:pPr>
        <w:tabs>
          <w:tab w:val="num" w:pos="360"/>
        </w:tabs>
        <w:ind w:left="360" w:hanging="360"/>
      </w:pPr>
      <w:rPr>
        <w:rFonts w:ascii="Courier New" w:hAnsi="Courier New" w:hint="default"/>
      </w:rPr>
    </w:lvl>
    <w:lvl w:ilvl="1" w:tplc="04080003" w:tentative="1">
      <w:start w:val="1"/>
      <w:numFmt w:val="bullet"/>
      <w:lvlText w:val="o"/>
      <w:lvlJc w:val="left"/>
      <w:pPr>
        <w:tabs>
          <w:tab w:val="num" w:pos="360"/>
        </w:tabs>
        <w:ind w:left="360" w:hanging="360"/>
      </w:pPr>
      <w:rPr>
        <w:rFonts w:ascii="Courier New" w:hAnsi="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0"/>
  </w:num>
  <w:num w:numId="3">
    <w:abstractNumId w:val="1"/>
  </w:num>
  <w:num w:numId="4">
    <w:abstractNumId w:val="9"/>
  </w:num>
  <w:num w:numId="5">
    <w:abstractNumId w:val="5"/>
  </w:num>
  <w:num w:numId="6">
    <w:abstractNumId w:val="6"/>
  </w:num>
  <w:num w:numId="7">
    <w:abstractNumId w:val="4"/>
  </w:num>
  <w:num w:numId="8">
    <w:abstractNumId w:val="2"/>
  </w:num>
  <w:num w:numId="9">
    <w:abstractNumId w:val="7"/>
  </w:num>
  <w:num w:numId="10">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WAFNeedToUniquify" w:val="false"/>
    <w:docVar w:name="APWAFVersion" w:val="5.0"/>
  </w:docVars>
  <w:rsids>
    <w:rsidRoot w:val="009C14C8"/>
    <w:rsid w:val="00001851"/>
    <w:rsid w:val="00001EC3"/>
    <w:rsid w:val="00003306"/>
    <w:rsid w:val="00004268"/>
    <w:rsid w:val="00004AC0"/>
    <w:rsid w:val="00005805"/>
    <w:rsid w:val="0000598F"/>
    <w:rsid w:val="00006A4B"/>
    <w:rsid w:val="00006AFB"/>
    <w:rsid w:val="000070DB"/>
    <w:rsid w:val="00007A42"/>
    <w:rsid w:val="00007AB1"/>
    <w:rsid w:val="00010535"/>
    <w:rsid w:val="00010678"/>
    <w:rsid w:val="000112C3"/>
    <w:rsid w:val="0001138D"/>
    <w:rsid w:val="0001172C"/>
    <w:rsid w:val="000118A0"/>
    <w:rsid w:val="00011B27"/>
    <w:rsid w:val="000127B2"/>
    <w:rsid w:val="00012CFB"/>
    <w:rsid w:val="000137DD"/>
    <w:rsid w:val="00013D79"/>
    <w:rsid w:val="000144B9"/>
    <w:rsid w:val="00016E04"/>
    <w:rsid w:val="00020407"/>
    <w:rsid w:val="00020590"/>
    <w:rsid w:val="00020A9A"/>
    <w:rsid w:val="00023270"/>
    <w:rsid w:val="00023777"/>
    <w:rsid w:val="000261F1"/>
    <w:rsid w:val="0002623A"/>
    <w:rsid w:val="00026ABA"/>
    <w:rsid w:val="00026F84"/>
    <w:rsid w:val="00027CC3"/>
    <w:rsid w:val="00027FC4"/>
    <w:rsid w:val="0003119E"/>
    <w:rsid w:val="00031242"/>
    <w:rsid w:val="00033D2D"/>
    <w:rsid w:val="00034574"/>
    <w:rsid w:val="0003566F"/>
    <w:rsid w:val="00036629"/>
    <w:rsid w:val="00036A1D"/>
    <w:rsid w:val="000371F3"/>
    <w:rsid w:val="00037CED"/>
    <w:rsid w:val="00037F95"/>
    <w:rsid w:val="00040385"/>
    <w:rsid w:val="00040E18"/>
    <w:rsid w:val="00040F15"/>
    <w:rsid w:val="0004128D"/>
    <w:rsid w:val="00042A55"/>
    <w:rsid w:val="00044154"/>
    <w:rsid w:val="00044837"/>
    <w:rsid w:val="00044D9A"/>
    <w:rsid w:val="000513FA"/>
    <w:rsid w:val="00052456"/>
    <w:rsid w:val="000526FF"/>
    <w:rsid w:val="0005344F"/>
    <w:rsid w:val="00057451"/>
    <w:rsid w:val="000601AD"/>
    <w:rsid w:val="000635EB"/>
    <w:rsid w:val="00065544"/>
    <w:rsid w:val="00065894"/>
    <w:rsid w:val="00066D61"/>
    <w:rsid w:val="00073B04"/>
    <w:rsid w:val="00074560"/>
    <w:rsid w:val="000748D9"/>
    <w:rsid w:val="00077953"/>
    <w:rsid w:val="00080C07"/>
    <w:rsid w:val="00082A12"/>
    <w:rsid w:val="00084C51"/>
    <w:rsid w:val="000870A4"/>
    <w:rsid w:val="00087C15"/>
    <w:rsid w:val="000926D1"/>
    <w:rsid w:val="00094983"/>
    <w:rsid w:val="00095B7C"/>
    <w:rsid w:val="0009677C"/>
    <w:rsid w:val="000979DB"/>
    <w:rsid w:val="000A006F"/>
    <w:rsid w:val="000A019E"/>
    <w:rsid w:val="000A15F4"/>
    <w:rsid w:val="000A4651"/>
    <w:rsid w:val="000A4F37"/>
    <w:rsid w:val="000A72A5"/>
    <w:rsid w:val="000A7D09"/>
    <w:rsid w:val="000B0291"/>
    <w:rsid w:val="000B22DF"/>
    <w:rsid w:val="000B709A"/>
    <w:rsid w:val="000B7323"/>
    <w:rsid w:val="000B75C1"/>
    <w:rsid w:val="000C13B6"/>
    <w:rsid w:val="000C17CA"/>
    <w:rsid w:val="000C1D50"/>
    <w:rsid w:val="000C364B"/>
    <w:rsid w:val="000C4C96"/>
    <w:rsid w:val="000D1FFD"/>
    <w:rsid w:val="000D2FEF"/>
    <w:rsid w:val="000D3C10"/>
    <w:rsid w:val="000D404D"/>
    <w:rsid w:val="000D658D"/>
    <w:rsid w:val="000E14A6"/>
    <w:rsid w:val="000E6145"/>
    <w:rsid w:val="000E65D5"/>
    <w:rsid w:val="000E7A49"/>
    <w:rsid w:val="000F43F2"/>
    <w:rsid w:val="000F536F"/>
    <w:rsid w:val="000F6530"/>
    <w:rsid w:val="000F6E02"/>
    <w:rsid w:val="000F74F3"/>
    <w:rsid w:val="000F787F"/>
    <w:rsid w:val="00101255"/>
    <w:rsid w:val="00101731"/>
    <w:rsid w:val="0010275D"/>
    <w:rsid w:val="001037E5"/>
    <w:rsid w:val="001043E9"/>
    <w:rsid w:val="00104587"/>
    <w:rsid w:val="001049A0"/>
    <w:rsid w:val="0010568C"/>
    <w:rsid w:val="00106BBB"/>
    <w:rsid w:val="00107C6F"/>
    <w:rsid w:val="00110B8E"/>
    <w:rsid w:val="001125FA"/>
    <w:rsid w:val="00114131"/>
    <w:rsid w:val="0011447D"/>
    <w:rsid w:val="00114541"/>
    <w:rsid w:val="001153C3"/>
    <w:rsid w:val="001176B3"/>
    <w:rsid w:val="00117CB4"/>
    <w:rsid w:val="00120DE8"/>
    <w:rsid w:val="00122912"/>
    <w:rsid w:val="00123D4E"/>
    <w:rsid w:val="00124543"/>
    <w:rsid w:val="00124671"/>
    <w:rsid w:val="00124E85"/>
    <w:rsid w:val="001260F2"/>
    <w:rsid w:val="00127C37"/>
    <w:rsid w:val="00130F1C"/>
    <w:rsid w:val="0013122C"/>
    <w:rsid w:val="0013308E"/>
    <w:rsid w:val="00133B33"/>
    <w:rsid w:val="001353F1"/>
    <w:rsid w:val="00135562"/>
    <w:rsid w:val="0013748A"/>
    <w:rsid w:val="001376A9"/>
    <w:rsid w:val="00137EA9"/>
    <w:rsid w:val="00140612"/>
    <w:rsid w:val="001420BF"/>
    <w:rsid w:val="0014252B"/>
    <w:rsid w:val="00143C8B"/>
    <w:rsid w:val="001463E2"/>
    <w:rsid w:val="001467CF"/>
    <w:rsid w:val="00147519"/>
    <w:rsid w:val="001515A9"/>
    <w:rsid w:val="001535DC"/>
    <w:rsid w:val="00155E0A"/>
    <w:rsid w:val="00155FB8"/>
    <w:rsid w:val="001579F2"/>
    <w:rsid w:val="00157C2F"/>
    <w:rsid w:val="00161760"/>
    <w:rsid w:val="00161967"/>
    <w:rsid w:val="00161DB7"/>
    <w:rsid w:val="0016638B"/>
    <w:rsid w:val="00167DAC"/>
    <w:rsid w:val="00170571"/>
    <w:rsid w:val="00170B2B"/>
    <w:rsid w:val="00171658"/>
    <w:rsid w:val="00171B1C"/>
    <w:rsid w:val="00171D5A"/>
    <w:rsid w:val="00176A19"/>
    <w:rsid w:val="00177BDD"/>
    <w:rsid w:val="0018092E"/>
    <w:rsid w:val="00182C8A"/>
    <w:rsid w:val="00182E0B"/>
    <w:rsid w:val="00184553"/>
    <w:rsid w:val="00187A8E"/>
    <w:rsid w:val="00187BF6"/>
    <w:rsid w:val="001948B5"/>
    <w:rsid w:val="0019580A"/>
    <w:rsid w:val="00195932"/>
    <w:rsid w:val="00196002"/>
    <w:rsid w:val="00196162"/>
    <w:rsid w:val="00196727"/>
    <w:rsid w:val="001A0C1E"/>
    <w:rsid w:val="001A25FD"/>
    <w:rsid w:val="001A3176"/>
    <w:rsid w:val="001A36F2"/>
    <w:rsid w:val="001A4056"/>
    <w:rsid w:val="001A48F4"/>
    <w:rsid w:val="001A5EB9"/>
    <w:rsid w:val="001A689D"/>
    <w:rsid w:val="001B132A"/>
    <w:rsid w:val="001B5199"/>
    <w:rsid w:val="001B607F"/>
    <w:rsid w:val="001B6751"/>
    <w:rsid w:val="001C155E"/>
    <w:rsid w:val="001C2AE8"/>
    <w:rsid w:val="001C43B0"/>
    <w:rsid w:val="001C6FF6"/>
    <w:rsid w:val="001D1246"/>
    <w:rsid w:val="001D27CE"/>
    <w:rsid w:val="001D3379"/>
    <w:rsid w:val="001D3F12"/>
    <w:rsid w:val="001D4AF2"/>
    <w:rsid w:val="001D57BC"/>
    <w:rsid w:val="001D595A"/>
    <w:rsid w:val="001E042D"/>
    <w:rsid w:val="001E1035"/>
    <w:rsid w:val="001E22A5"/>
    <w:rsid w:val="001E2E68"/>
    <w:rsid w:val="001E3B09"/>
    <w:rsid w:val="001F4441"/>
    <w:rsid w:val="001F503A"/>
    <w:rsid w:val="001F6618"/>
    <w:rsid w:val="001F78EE"/>
    <w:rsid w:val="002015B4"/>
    <w:rsid w:val="00201BA8"/>
    <w:rsid w:val="00201C91"/>
    <w:rsid w:val="002044C3"/>
    <w:rsid w:val="0020534F"/>
    <w:rsid w:val="00205F14"/>
    <w:rsid w:val="00206694"/>
    <w:rsid w:val="00210F98"/>
    <w:rsid w:val="0021111E"/>
    <w:rsid w:val="00212E05"/>
    <w:rsid w:val="00213D4D"/>
    <w:rsid w:val="00214298"/>
    <w:rsid w:val="00215C62"/>
    <w:rsid w:val="00216044"/>
    <w:rsid w:val="00216FC4"/>
    <w:rsid w:val="00217261"/>
    <w:rsid w:val="00217E82"/>
    <w:rsid w:val="00220F3A"/>
    <w:rsid w:val="00222DD0"/>
    <w:rsid w:val="0022525B"/>
    <w:rsid w:val="002258DE"/>
    <w:rsid w:val="00226070"/>
    <w:rsid w:val="002263CB"/>
    <w:rsid w:val="0022694A"/>
    <w:rsid w:val="002304A4"/>
    <w:rsid w:val="00230650"/>
    <w:rsid w:val="0023117E"/>
    <w:rsid w:val="00233763"/>
    <w:rsid w:val="002345F6"/>
    <w:rsid w:val="00234877"/>
    <w:rsid w:val="00235D63"/>
    <w:rsid w:val="002400B5"/>
    <w:rsid w:val="00241371"/>
    <w:rsid w:val="002423EF"/>
    <w:rsid w:val="002440E9"/>
    <w:rsid w:val="00245631"/>
    <w:rsid w:val="00246E5E"/>
    <w:rsid w:val="002471D1"/>
    <w:rsid w:val="002508F6"/>
    <w:rsid w:val="002531DD"/>
    <w:rsid w:val="00253AA7"/>
    <w:rsid w:val="002574CE"/>
    <w:rsid w:val="00257D98"/>
    <w:rsid w:val="002608BB"/>
    <w:rsid w:val="00261B66"/>
    <w:rsid w:val="00263D7D"/>
    <w:rsid w:val="00264908"/>
    <w:rsid w:val="002659E9"/>
    <w:rsid w:val="00267A9D"/>
    <w:rsid w:val="00267AC7"/>
    <w:rsid w:val="00272A56"/>
    <w:rsid w:val="00272DEC"/>
    <w:rsid w:val="002738C7"/>
    <w:rsid w:val="00274607"/>
    <w:rsid w:val="00276648"/>
    <w:rsid w:val="002777B4"/>
    <w:rsid w:val="002804B7"/>
    <w:rsid w:val="002811B0"/>
    <w:rsid w:val="00285F58"/>
    <w:rsid w:val="0028622A"/>
    <w:rsid w:val="00287B40"/>
    <w:rsid w:val="00292111"/>
    <w:rsid w:val="00292471"/>
    <w:rsid w:val="0029394A"/>
    <w:rsid w:val="00294675"/>
    <w:rsid w:val="00295B54"/>
    <w:rsid w:val="002962F7"/>
    <w:rsid w:val="0029661F"/>
    <w:rsid w:val="00297C10"/>
    <w:rsid w:val="002A35F0"/>
    <w:rsid w:val="002A4991"/>
    <w:rsid w:val="002A7463"/>
    <w:rsid w:val="002A75C0"/>
    <w:rsid w:val="002B0B92"/>
    <w:rsid w:val="002B1326"/>
    <w:rsid w:val="002B1E73"/>
    <w:rsid w:val="002B3AA1"/>
    <w:rsid w:val="002B4B88"/>
    <w:rsid w:val="002B4EB9"/>
    <w:rsid w:val="002B5E34"/>
    <w:rsid w:val="002B6C69"/>
    <w:rsid w:val="002B6D28"/>
    <w:rsid w:val="002C063A"/>
    <w:rsid w:val="002C0A6A"/>
    <w:rsid w:val="002C1258"/>
    <w:rsid w:val="002C268A"/>
    <w:rsid w:val="002C3626"/>
    <w:rsid w:val="002C607A"/>
    <w:rsid w:val="002C65C0"/>
    <w:rsid w:val="002C67EE"/>
    <w:rsid w:val="002C735A"/>
    <w:rsid w:val="002D0DAC"/>
    <w:rsid w:val="002D0EE7"/>
    <w:rsid w:val="002D14AB"/>
    <w:rsid w:val="002D1794"/>
    <w:rsid w:val="002D201E"/>
    <w:rsid w:val="002D22B3"/>
    <w:rsid w:val="002D27E3"/>
    <w:rsid w:val="002D28D8"/>
    <w:rsid w:val="002D44BA"/>
    <w:rsid w:val="002D7E38"/>
    <w:rsid w:val="002E21A6"/>
    <w:rsid w:val="002E2DE9"/>
    <w:rsid w:val="002E4809"/>
    <w:rsid w:val="002E4834"/>
    <w:rsid w:val="002E4AE3"/>
    <w:rsid w:val="002F05F1"/>
    <w:rsid w:val="002F34FD"/>
    <w:rsid w:val="002F4F35"/>
    <w:rsid w:val="002F5C0F"/>
    <w:rsid w:val="002F7B50"/>
    <w:rsid w:val="002F7CCE"/>
    <w:rsid w:val="00300E22"/>
    <w:rsid w:val="00301011"/>
    <w:rsid w:val="00303DC4"/>
    <w:rsid w:val="00304740"/>
    <w:rsid w:val="00305666"/>
    <w:rsid w:val="00306D51"/>
    <w:rsid w:val="00310F8B"/>
    <w:rsid w:val="0031121D"/>
    <w:rsid w:val="00311446"/>
    <w:rsid w:val="00312601"/>
    <w:rsid w:val="0031260E"/>
    <w:rsid w:val="00312FA9"/>
    <w:rsid w:val="00315E2D"/>
    <w:rsid w:val="0031635B"/>
    <w:rsid w:val="003218C1"/>
    <w:rsid w:val="00324193"/>
    <w:rsid w:val="00324B2E"/>
    <w:rsid w:val="00324DD9"/>
    <w:rsid w:val="0032642A"/>
    <w:rsid w:val="00326CF0"/>
    <w:rsid w:val="00327AD7"/>
    <w:rsid w:val="00332002"/>
    <w:rsid w:val="003322DD"/>
    <w:rsid w:val="00340283"/>
    <w:rsid w:val="00343A75"/>
    <w:rsid w:val="00343AE5"/>
    <w:rsid w:val="0035119C"/>
    <w:rsid w:val="00352A23"/>
    <w:rsid w:val="00352B3E"/>
    <w:rsid w:val="0035554F"/>
    <w:rsid w:val="00355CA3"/>
    <w:rsid w:val="003561D7"/>
    <w:rsid w:val="0035705D"/>
    <w:rsid w:val="003577A8"/>
    <w:rsid w:val="003601B0"/>
    <w:rsid w:val="003603AB"/>
    <w:rsid w:val="003607AA"/>
    <w:rsid w:val="0036098E"/>
    <w:rsid w:val="00361293"/>
    <w:rsid w:val="00363614"/>
    <w:rsid w:val="00364AEF"/>
    <w:rsid w:val="00364BA6"/>
    <w:rsid w:val="00364F31"/>
    <w:rsid w:val="003707BF"/>
    <w:rsid w:val="003708C4"/>
    <w:rsid w:val="00371CFB"/>
    <w:rsid w:val="0037213E"/>
    <w:rsid w:val="003748B7"/>
    <w:rsid w:val="00376EAA"/>
    <w:rsid w:val="00377CC6"/>
    <w:rsid w:val="00377CF6"/>
    <w:rsid w:val="00380198"/>
    <w:rsid w:val="003810BE"/>
    <w:rsid w:val="00381E32"/>
    <w:rsid w:val="00384C3B"/>
    <w:rsid w:val="00384F4D"/>
    <w:rsid w:val="00385797"/>
    <w:rsid w:val="0038623F"/>
    <w:rsid w:val="00386BFB"/>
    <w:rsid w:val="00387BC0"/>
    <w:rsid w:val="0039131A"/>
    <w:rsid w:val="00392BF9"/>
    <w:rsid w:val="00392D1D"/>
    <w:rsid w:val="00393A43"/>
    <w:rsid w:val="003941BC"/>
    <w:rsid w:val="00394CF0"/>
    <w:rsid w:val="0039659B"/>
    <w:rsid w:val="0039663C"/>
    <w:rsid w:val="00396C62"/>
    <w:rsid w:val="00397118"/>
    <w:rsid w:val="00397EBD"/>
    <w:rsid w:val="003A3B31"/>
    <w:rsid w:val="003A6134"/>
    <w:rsid w:val="003A6A22"/>
    <w:rsid w:val="003B1514"/>
    <w:rsid w:val="003B26E9"/>
    <w:rsid w:val="003B3533"/>
    <w:rsid w:val="003B3D5B"/>
    <w:rsid w:val="003B4027"/>
    <w:rsid w:val="003B453A"/>
    <w:rsid w:val="003B4BF0"/>
    <w:rsid w:val="003B4C38"/>
    <w:rsid w:val="003B515E"/>
    <w:rsid w:val="003B5705"/>
    <w:rsid w:val="003B6DE0"/>
    <w:rsid w:val="003C10CA"/>
    <w:rsid w:val="003C483D"/>
    <w:rsid w:val="003C4A7A"/>
    <w:rsid w:val="003C68B3"/>
    <w:rsid w:val="003C7A74"/>
    <w:rsid w:val="003D1602"/>
    <w:rsid w:val="003D2C84"/>
    <w:rsid w:val="003D5C30"/>
    <w:rsid w:val="003D784E"/>
    <w:rsid w:val="003D7EF9"/>
    <w:rsid w:val="003E12C8"/>
    <w:rsid w:val="003E14D0"/>
    <w:rsid w:val="003E20A6"/>
    <w:rsid w:val="003E35D3"/>
    <w:rsid w:val="003F0EFE"/>
    <w:rsid w:val="003F15B0"/>
    <w:rsid w:val="003F27E6"/>
    <w:rsid w:val="003F4F4A"/>
    <w:rsid w:val="003F6CB3"/>
    <w:rsid w:val="00401E28"/>
    <w:rsid w:val="00403D48"/>
    <w:rsid w:val="00404718"/>
    <w:rsid w:val="00405525"/>
    <w:rsid w:val="0040692C"/>
    <w:rsid w:val="00407573"/>
    <w:rsid w:val="00407764"/>
    <w:rsid w:val="00407C50"/>
    <w:rsid w:val="00407C85"/>
    <w:rsid w:val="0041049C"/>
    <w:rsid w:val="00411214"/>
    <w:rsid w:val="00413107"/>
    <w:rsid w:val="00413287"/>
    <w:rsid w:val="00413FA1"/>
    <w:rsid w:val="0041424F"/>
    <w:rsid w:val="004164C7"/>
    <w:rsid w:val="004204EF"/>
    <w:rsid w:val="004236F1"/>
    <w:rsid w:val="00424733"/>
    <w:rsid w:val="00425BBA"/>
    <w:rsid w:val="00426250"/>
    <w:rsid w:val="00426FBD"/>
    <w:rsid w:val="00427316"/>
    <w:rsid w:val="00431333"/>
    <w:rsid w:val="00434B2E"/>
    <w:rsid w:val="00435585"/>
    <w:rsid w:val="004364CC"/>
    <w:rsid w:val="0043679B"/>
    <w:rsid w:val="004412CF"/>
    <w:rsid w:val="0044163A"/>
    <w:rsid w:val="0044377B"/>
    <w:rsid w:val="00443A5F"/>
    <w:rsid w:val="00444B69"/>
    <w:rsid w:val="004458C0"/>
    <w:rsid w:val="0044743F"/>
    <w:rsid w:val="00454A19"/>
    <w:rsid w:val="00454E10"/>
    <w:rsid w:val="0045538F"/>
    <w:rsid w:val="004568C6"/>
    <w:rsid w:val="0046045A"/>
    <w:rsid w:val="00464841"/>
    <w:rsid w:val="00465A6F"/>
    <w:rsid w:val="004662D6"/>
    <w:rsid w:val="0046760F"/>
    <w:rsid w:val="00470FC7"/>
    <w:rsid w:val="00471C59"/>
    <w:rsid w:val="00472639"/>
    <w:rsid w:val="004728BF"/>
    <w:rsid w:val="00473492"/>
    <w:rsid w:val="004801DC"/>
    <w:rsid w:val="004927DC"/>
    <w:rsid w:val="00493B6A"/>
    <w:rsid w:val="00494D53"/>
    <w:rsid w:val="0049501E"/>
    <w:rsid w:val="0049521A"/>
    <w:rsid w:val="004969E2"/>
    <w:rsid w:val="004A13C6"/>
    <w:rsid w:val="004A3505"/>
    <w:rsid w:val="004A3A88"/>
    <w:rsid w:val="004A52D1"/>
    <w:rsid w:val="004B01D7"/>
    <w:rsid w:val="004B0B91"/>
    <w:rsid w:val="004B32C6"/>
    <w:rsid w:val="004B44B9"/>
    <w:rsid w:val="004B5935"/>
    <w:rsid w:val="004B61C2"/>
    <w:rsid w:val="004B79C6"/>
    <w:rsid w:val="004C2760"/>
    <w:rsid w:val="004C323F"/>
    <w:rsid w:val="004C45C9"/>
    <w:rsid w:val="004C5C1B"/>
    <w:rsid w:val="004C5CE7"/>
    <w:rsid w:val="004D11DF"/>
    <w:rsid w:val="004D7B6D"/>
    <w:rsid w:val="004E0AF6"/>
    <w:rsid w:val="004E3F5B"/>
    <w:rsid w:val="004E4611"/>
    <w:rsid w:val="004E68EF"/>
    <w:rsid w:val="004E73DD"/>
    <w:rsid w:val="004F23D2"/>
    <w:rsid w:val="004F2C27"/>
    <w:rsid w:val="004F30B0"/>
    <w:rsid w:val="004F4D77"/>
    <w:rsid w:val="0050058B"/>
    <w:rsid w:val="00502502"/>
    <w:rsid w:val="00503C6B"/>
    <w:rsid w:val="00504228"/>
    <w:rsid w:val="005048A7"/>
    <w:rsid w:val="00505D8A"/>
    <w:rsid w:val="0051129B"/>
    <w:rsid w:val="00516D1C"/>
    <w:rsid w:val="005170A9"/>
    <w:rsid w:val="0051798E"/>
    <w:rsid w:val="00520B96"/>
    <w:rsid w:val="0052368B"/>
    <w:rsid w:val="0052544F"/>
    <w:rsid w:val="0053026B"/>
    <w:rsid w:val="005367DB"/>
    <w:rsid w:val="00536D01"/>
    <w:rsid w:val="00540570"/>
    <w:rsid w:val="00540E4E"/>
    <w:rsid w:val="005440AF"/>
    <w:rsid w:val="00545621"/>
    <w:rsid w:val="005462A4"/>
    <w:rsid w:val="00547507"/>
    <w:rsid w:val="00547D33"/>
    <w:rsid w:val="00551C77"/>
    <w:rsid w:val="00552356"/>
    <w:rsid w:val="00552386"/>
    <w:rsid w:val="005536A8"/>
    <w:rsid w:val="00554312"/>
    <w:rsid w:val="005545E9"/>
    <w:rsid w:val="005548FB"/>
    <w:rsid w:val="00554EE4"/>
    <w:rsid w:val="005602EA"/>
    <w:rsid w:val="00561B49"/>
    <w:rsid w:val="00561B4F"/>
    <w:rsid w:val="00561B7D"/>
    <w:rsid w:val="00562098"/>
    <w:rsid w:val="005622AD"/>
    <w:rsid w:val="00562DBD"/>
    <w:rsid w:val="00564CFF"/>
    <w:rsid w:val="0056581D"/>
    <w:rsid w:val="0056593D"/>
    <w:rsid w:val="00565B1A"/>
    <w:rsid w:val="005675CB"/>
    <w:rsid w:val="00570EE7"/>
    <w:rsid w:val="005719FE"/>
    <w:rsid w:val="00571EE4"/>
    <w:rsid w:val="0057481B"/>
    <w:rsid w:val="00576312"/>
    <w:rsid w:val="0057696B"/>
    <w:rsid w:val="00580096"/>
    <w:rsid w:val="00581C2E"/>
    <w:rsid w:val="005834D9"/>
    <w:rsid w:val="0058554C"/>
    <w:rsid w:val="00585F39"/>
    <w:rsid w:val="00586392"/>
    <w:rsid w:val="005871DC"/>
    <w:rsid w:val="0059021B"/>
    <w:rsid w:val="005910A8"/>
    <w:rsid w:val="0059375C"/>
    <w:rsid w:val="00594EF6"/>
    <w:rsid w:val="00596CAD"/>
    <w:rsid w:val="00597E04"/>
    <w:rsid w:val="005A055F"/>
    <w:rsid w:val="005A1D99"/>
    <w:rsid w:val="005A1DB4"/>
    <w:rsid w:val="005A36FC"/>
    <w:rsid w:val="005A51DE"/>
    <w:rsid w:val="005B0D82"/>
    <w:rsid w:val="005B1BF7"/>
    <w:rsid w:val="005B29F4"/>
    <w:rsid w:val="005B2D2B"/>
    <w:rsid w:val="005B3669"/>
    <w:rsid w:val="005B433D"/>
    <w:rsid w:val="005B4579"/>
    <w:rsid w:val="005B4DA7"/>
    <w:rsid w:val="005C05D2"/>
    <w:rsid w:val="005C4311"/>
    <w:rsid w:val="005C6839"/>
    <w:rsid w:val="005C6D04"/>
    <w:rsid w:val="005D00CC"/>
    <w:rsid w:val="005D08CE"/>
    <w:rsid w:val="005D1FA0"/>
    <w:rsid w:val="005D205B"/>
    <w:rsid w:val="005D2637"/>
    <w:rsid w:val="005D3287"/>
    <w:rsid w:val="005D36DD"/>
    <w:rsid w:val="005D3C3C"/>
    <w:rsid w:val="005D40BE"/>
    <w:rsid w:val="005D571B"/>
    <w:rsid w:val="005D5E99"/>
    <w:rsid w:val="005D6669"/>
    <w:rsid w:val="005D7E00"/>
    <w:rsid w:val="005E20F2"/>
    <w:rsid w:val="005E29C3"/>
    <w:rsid w:val="005E4394"/>
    <w:rsid w:val="005E47B8"/>
    <w:rsid w:val="005E5A10"/>
    <w:rsid w:val="005E5BD8"/>
    <w:rsid w:val="005E6E71"/>
    <w:rsid w:val="005F0134"/>
    <w:rsid w:val="005F0A58"/>
    <w:rsid w:val="005F1F70"/>
    <w:rsid w:val="005F4504"/>
    <w:rsid w:val="005F7286"/>
    <w:rsid w:val="005F7698"/>
    <w:rsid w:val="005F7C20"/>
    <w:rsid w:val="0060081D"/>
    <w:rsid w:val="00600F6E"/>
    <w:rsid w:val="0060107B"/>
    <w:rsid w:val="0060381E"/>
    <w:rsid w:val="0060517F"/>
    <w:rsid w:val="0060706D"/>
    <w:rsid w:val="00610513"/>
    <w:rsid w:val="00614074"/>
    <w:rsid w:val="00617635"/>
    <w:rsid w:val="00623ADF"/>
    <w:rsid w:val="00624314"/>
    <w:rsid w:val="0062453A"/>
    <w:rsid w:val="00627286"/>
    <w:rsid w:val="00627450"/>
    <w:rsid w:val="006276C7"/>
    <w:rsid w:val="0064011B"/>
    <w:rsid w:val="006418BE"/>
    <w:rsid w:val="00641C6C"/>
    <w:rsid w:val="00642046"/>
    <w:rsid w:val="006437B4"/>
    <w:rsid w:val="006441F4"/>
    <w:rsid w:val="00645444"/>
    <w:rsid w:val="00645E27"/>
    <w:rsid w:val="00646A56"/>
    <w:rsid w:val="00651C2D"/>
    <w:rsid w:val="006528E1"/>
    <w:rsid w:val="00652F6A"/>
    <w:rsid w:val="006531AD"/>
    <w:rsid w:val="00654545"/>
    <w:rsid w:val="00656588"/>
    <w:rsid w:val="00662573"/>
    <w:rsid w:val="00663274"/>
    <w:rsid w:val="006633AA"/>
    <w:rsid w:val="00663ABC"/>
    <w:rsid w:val="00664E09"/>
    <w:rsid w:val="00665B86"/>
    <w:rsid w:val="006666BB"/>
    <w:rsid w:val="00666AC1"/>
    <w:rsid w:val="0066749D"/>
    <w:rsid w:val="00667BD8"/>
    <w:rsid w:val="00667DDF"/>
    <w:rsid w:val="0067375A"/>
    <w:rsid w:val="006744FC"/>
    <w:rsid w:val="0067737D"/>
    <w:rsid w:val="0067765D"/>
    <w:rsid w:val="0068432F"/>
    <w:rsid w:val="00684CA2"/>
    <w:rsid w:val="00690047"/>
    <w:rsid w:val="006905BE"/>
    <w:rsid w:val="006916CD"/>
    <w:rsid w:val="00691B89"/>
    <w:rsid w:val="00692CF1"/>
    <w:rsid w:val="00694111"/>
    <w:rsid w:val="0069461A"/>
    <w:rsid w:val="00697FF3"/>
    <w:rsid w:val="006A3024"/>
    <w:rsid w:val="006A31B2"/>
    <w:rsid w:val="006A3934"/>
    <w:rsid w:val="006A524F"/>
    <w:rsid w:val="006A592A"/>
    <w:rsid w:val="006B2038"/>
    <w:rsid w:val="006B58D8"/>
    <w:rsid w:val="006B6FB4"/>
    <w:rsid w:val="006C01FC"/>
    <w:rsid w:val="006C1833"/>
    <w:rsid w:val="006C391C"/>
    <w:rsid w:val="006C7353"/>
    <w:rsid w:val="006D14B5"/>
    <w:rsid w:val="006D2B7A"/>
    <w:rsid w:val="006D52FE"/>
    <w:rsid w:val="006D60E6"/>
    <w:rsid w:val="006D7072"/>
    <w:rsid w:val="006E17AD"/>
    <w:rsid w:val="006E2235"/>
    <w:rsid w:val="006E69E1"/>
    <w:rsid w:val="006F0672"/>
    <w:rsid w:val="006F2E1C"/>
    <w:rsid w:val="006F71E9"/>
    <w:rsid w:val="006F7875"/>
    <w:rsid w:val="0070082D"/>
    <w:rsid w:val="007026A8"/>
    <w:rsid w:val="00703324"/>
    <w:rsid w:val="0070362C"/>
    <w:rsid w:val="00703D51"/>
    <w:rsid w:val="00704B3B"/>
    <w:rsid w:val="007058AE"/>
    <w:rsid w:val="007060E8"/>
    <w:rsid w:val="007063A0"/>
    <w:rsid w:val="00710253"/>
    <w:rsid w:val="007133B4"/>
    <w:rsid w:val="0071593D"/>
    <w:rsid w:val="00723BC4"/>
    <w:rsid w:val="00726A86"/>
    <w:rsid w:val="0072736A"/>
    <w:rsid w:val="007275B6"/>
    <w:rsid w:val="007302D5"/>
    <w:rsid w:val="00730F2A"/>
    <w:rsid w:val="007316C0"/>
    <w:rsid w:val="007335BE"/>
    <w:rsid w:val="00733787"/>
    <w:rsid w:val="0073391E"/>
    <w:rsid w:val="00734178"/>
    <w:rsid w:val="00734306"/>
    <w:rsid w:val="007347EE"/>
    <w:rsid w:val="007354D5"/>
    <w:rsid w:val="007371A0"/>
    <w:rsid w:val="00737D07"/>
    <w:rsid w:val="007400C4"/>
    <w:rsid w:val="007447E2"/>
    <w:rsid w:val="0074566F"/>
    <w:rsid w:val="007459F8"/>
    <w:rsid w:val="007465BC"/>
    <w:rsid w:val="0074769E"/>
    <w:rsid w:val="007562EE"/>
    <w:rsid w:val="00756D05"/>
    <w:rsid w:val="00760E68"/>
    <w:rsid w:val="00761FCE"/>
    <w:rsid w:val="007631F3"/>
    <w:rsid w:val="0076356A"/>
    <w:rsid w:val="00764BA3"/>
    <w:rsid w:val="00765DBB"/>
    <w:rsid w:val="007672B2"/>
    <w:rsid w:val="00772034"/>
    <w:rsid w:val="0077213C"/>
    <w:rsid w:val="00774AA4"/>
    <w:rsid w:val="00774FEC"/>
    <w:rsid w:val="007750D4"/>
    <w:rsid w:val="007751DC"/>
    <w:rsid w:val="0077669B"/>
    <w:rsid w:val="00780FD0"/>
    <w:rsid w:val="00784018"/>
    <w:rsid w:val="007850C6"/>
    <w:rsid w:val="007853B7"/>
    <w:rsid w:val="00785840"/>
    <w:rsid w:val="00785C4D"/>
    <w:rsid w:val="00787121"/>
    <w:rsid w:val="00787E20"/>
    <w:rsid w:val="00790353"/>
    <w:rsid w:val="00790472"/>
    <w:rsid w:val="00791462"/>
    <w:rsid w:val="0079165E"/>
    <w:rsid w:val="007922CF"/>
    <w:rsid w:val="00793211"/>
    <w:rsid w:val="00793B98"/>
    <w:rsid w:val="007955A9"/>
    <w:rsid w:val="00795926"/>
    <w:rsid w:val="00795B3B"/>
    <w:rsid w:val="0079627C"/>
    <w:rsid w:val="007A0F02"/>
    <w:rsid w:val="007A31F5"/>
    <w:rsid w:val="007A36B4"/>
    <w:rsid w:val="007A39A3"/>
    <w:rsid w:val="007A557C"/>
    <w:rsid w:val="007A64B6"/>
    <w:rsid w:val="007B2275"/>
    <w:rsid w:val="007B31B3"/>
    <w:rsid w:val="007B4D28"/>
    <w:rsid w:val="007B56D3"/>
    <w:rsid w:val="007B7EAC"/>
    <w:rsid w:val="007C0306"/>
    <w:rsid w:val="007C098E"/>
    <w:rsid w:val="007C19EF"/>
    <w:rsid w:val="007C2555"/>
    <w:rsid w:val="007C3203"/>
    <w:rsid w:val="007C500D"/>
    <w:rsid w:val="007C5605"/>
    <w:rsid w:val="007C6DE3"/>
    <w:rsid w:val="007C7F37"/>
    <w:rsid w:val="007D049F"/>
    <w:rsid w:val="007D07E3"/>
    <w:rsid w:val="007D1A1D"/>
    <w:rsid w:val="007D38DA"/>
    <w:rsid w:val="007E1D56"/>
    <w:rsid w:val="007E1E86"/>
    <w:rsid w:val="007E26C5"/>
    <w:rsid w:val="007E32BB"/>
    <w:rsid w:val="007E3642"/>
    <w:rsid w:val="007E6FED"/>
    <w:rsid w:val="007E7A72"/>
    <w:rsid w:val="007E7E12"/>
    <w:rsid w:val="007F0DE4"/>
    <w:rsid w:val="007F1FCE"/>
    <w:rsid w:val="007F48B2"/>
    <w:rsid w:val="007F4C88"/>
    <w:rsid w:val="007F616B"/>
    <w:rsid w:val="00801ACC"/>
    <w:rsid w:val="00801B9C"/>
    <w:rsid w:val="00802060"/>
    <w:rsid w:val="0080431C"/>
    <w:rsid w:val="00805AA0"/>
    <w:rsid w:val="00810FC8"/>
    <w:rsid w:val="00811B00"/>
    <w:rsid w:val="00812B84"/>
    <w:rsid w:val="0081356C"/>
    <w:rsid w:val="00823B88"/>
    <w:rsid w:val="0082466E"/>
    <w:rsid w:val="008247B6"/>
    <w:rsid w:val="008253A3"/>
    <w:rsid w:val="008262F3"/>
    <w:rsid w:val="008311D9"/>
    <w:rsid w:val="00835192"/>
    <w:rsid w:val="00835431"/>
    <w:rsid w:val="00836308"/>
    <w:rsid w:val="0083662E"/>
    <w:rsid w:val="00836F7B"/>
    <w:rsid w:val="0083708B"/>
    <w:rsid w:val="00841AEB"/>
    <w:rsid w:val="00841C42"/>
    <w:rsid w:val="00842415"/>
    <w:rsid w:val="00846393"/>
    <w:rsid w:val="008474F4"/>
    <w:rsid w:val="00847B7B"/>
    <w:rsid w:val="008500DB"/>
    <w:rsid w:val="008506AF"/>
    <w:rsid w:val="00850A67"/>
    <w:rsid w:val="00850DDA"/>
    <w:rsid w:val="0085124D"/>
    <w:rsid w:val="008533DA"/>
    <w:rsid w:val="008547CE"/>
    <w:rsid w:val="0086002C"/>
    <w:rsid w:val="00860D70"/>
    <w:rsid w:val="00861A41"/>
    <w:rsid w:val="00863FD5"/>
    <w:rsid w:val="008652BE"/>
    <w:rsid w:val="00866F46"/>
    <w:rsid w:val="008717E3"/>
    <w:rsid w:val="00874A47"/>
    <w:rsid w:val="00874FD2"/>
    <w:rsid w:val="00875F40"/>
    <w:rsid w:val="00885A72"/>
    <w:rsid w:val="00886681"/>
    <w:rsid w:val="008878FF"/>
    <w:rsid w:val="008903F4"/>
    <w:rsid w:val="00890750"/>
    <w:rsid w:val="00890837"/>
    <w:rsid w:val="00892A46"/>
    <w:rsid w:val="008953C7"/>
    <w:rsid w:val="00895576"/>
    <w:rsid w:val="00896810"/>
    <w:rsid w:val="00897543"/>
    <w:rsid w:val="008A02FC"/>
    <w:rsid w:val="008A040C"/>
    <w:rsid w:val="008A179E"/>
    <w:rsid w:val="008A1CA0"/>
    <w:rsid w:val="008A23D7"/>
    <w:rsid w:val="008A2959"/>
    <w:rsid w:val="008A48E4"/>
    <w:rsid w:val="008B0826"/>
    <w:rsid w:val="008B0A48"/>
    <w:rsid w:val="008B16C9"/>
    <w:rsid w:val="008B40E1"/>
    <w:rsid w:val="008B5EC2"/>
    <w:rsid w:val="008B5FB1"/>
    <w:rsid w:val="008B6459"/>
    <w:rsid w:val="008B6704"/>
    <w:rsid w:val="008B720E"/>
    <w:rsid w:val="008C5B58"/>
    <w:rsid w:val="008C5BA9"/>
    <w:rsid w:val="008C7B61"/>
    <w:rsid w:val="008D22D4"/>
    <w:rsid w:val="008D2504"/>
    <w:rsid w:val="008D3D46"/>
    <w:rsid w:val="008D403E"/>
    <w:rsid w:val="008D6035"/>
    <w:rsid w:val="008D6FC1"/>
    <w:rsid w:val="008E07A5"/>
    <w:rsid w:val="008E2AEC"/>
    <w:rsid w:val="008E2D16"/>
    <w:rsid w:val="008E2EB8"/>
    <w:rsid w:val="008E4C71"/>
    <w:rsid w:val="008E55F5"/>
    <w:rsid w:val="008E6911"/>
    <w:rsid w:val="008F02C8"/>
    <w:rsid w:val="008F17E9"/>
    <w:rsid w:val="008F2810"/>
    <w:rsid w:val="008F387B"/>
    <w:rsid w:val="008F5956"/>
    <w:rsid w:val="008F6CE7"/>
    <w:rsid w:val="008F7686"/>
    <w:rsid w:val="008F7851"/>
    <w:rsid w:val="00900897"/>
    <w:rsid w:val="009009E7"/>
    <w:rsid w:val="00901076"/>
    <w:rsid w:val="009021AF"/>
    <w:rsid w:val="00904E3B"/>
    <w:rsid w:val="0090572D"/>
    <w:rsid w:val="009068B9"/>
    <w:rsid w:val="009107C1"/>
    <w:rsid w:val="009112DB"/>
    <w:rsid w:val="009114B9"/>
    <w:rsid w:val="0091289D"/>
    <w:rsid w:val="009148D1"/>
    <w:rsid w:val="00915F74"/>
    <w:rsid w:val="0091613A"/>
    <w:rsid w:val="009214C7"/>
    <w:rsid w:val="00921689"/>
    <w:rsid w:val="00925EF6"/>
    <w:rsid w:val="00926B36"/>
    <w:rsid w:val="00927953"/>
    <w:rsid w:val="009309CE"/>
    <w:rsid w:val="009316C0"/>
    <w:rsid w:val="00932392"/>
    <w:rsid w:val="00933D5B"/>
    <w:rsid w:val="00933E0F"/>
    <w:rsid w:val="009361B0"/>
    <w:rsid w:val="009458FF"/>
    <w:rsid w:val="00945963"/>
    <w:rsid w:val="00946E38"/>
    <w:rsid w:val="00947FD7"/>
    <w:rsid w:val="009517ED"/>
    <w:rsid w:val="0095399A"/>
    <w:rsid w:val="00953D96"/>
    <w:rsid w:val="00954A35"/>
    <w:rsid w:val="00955097"/>
    <w:rsid w:val="0095531C"/>
    <w:rsid w:val="0095701F"/>
    <w:rsid w:val="009600D5"/>
    <w:rsid w:val="00960D14"/>
    <w:rsid w:val="00961203"/>
    <w:rsid w:val="00964F9D"/>
    <w:rsid w:val="00967618"/>
    <w:rsid w:val="00970DBA"/>
    <w:rsid w:val="0097127A"/>
    <w:rsid w:val="00971D61"/>
    <w:rsid w:val="009736A5"/>
    <w:rsid w:val="00973CD8"/>
    <w:rsid w:val="00974BB0"/>
    <w:rsid w:val="009755F2"/>
    <w:rsid w:val="00975B86"/>
    <w:rsid w:val="00976F31"/>
    <w:rsid w:val="0098316F"/>
    <w:rsid w:val="00983364"/>
    <w:rsid w:val="0098398C"/>
    <w:rsid w:val="00984FB4"/>
    <w:rsid w:val="00985625"/>
    <w:rsid w:val="00986E88"/>
    <w:rsid w:val="00987985"/>
    <w:rsid w:val="00987CAB"/>
    <w:rsid w:val="00990CAD"/>
    <w:rsid w:val="0099410F"/>
    <w:rsid w:val="00994922"/>
    <w:rsid w:val="0099625D"/>
    <w:rsid w:val="0099678D"/>
    <w:rsid w:val="00996804"/>
    <w:rsid w:val="009A2BED"/>
    <w:rsid w:val="009A35B5"/>
    <w:rsid w:val="009A5F0A"/>
    <w:rsid w:val="009A6E30"/>
    <w:rsid w:val="009B0834"/>
    <w:rsid w:val="009B0A14"/>
    <w:rsid w:val="009B2C36"/>
    <w:rsid w:val="009B34B9"/>
    <w:rsid w:val="009B393B"/>
    <w:rsid w:val="009B5F8D"/>
    <w:rsid w:val="009B720B"/>
    <w:rsid w:val="009C019D"/>
    <w:rsid w:val="009C14C8"/>
    <w:rsid w:val="009C15C4"/>
    <w:rsid w:val="009C240D"/>
    <w:rsid w:val="009C3C8E"/>
    <w:rsid w:val="009C45DF"/>
    <w:rsid w:val="009C471A"/>
    <w:rsid w:val="009C5344"/>
    <w:rsid w:val="009C6CFC"/>
    <w:rsid w:val="009C6DD9"/>
    <w:rsid w:val="009D07B9"/>
    <w:rsid w:val="009D13DE"/>
    <w:rsid w:val="009D23EA"/>
    <w:rsid w:val="009D2BD5"/>
    <w:rsid w:val="009D4460"/>
    <w:rsid w:val="009D4A47"/>
    <w:rsid w:val="009D6367"/>
    <w:rsid w:val="009D7C2C"/>
    <w:rsid w:val="009E0978"/>
    <w:rsid w:val="009E1146"/>
    <w:rsid w:val="009E1AC4"/>
    <w:rsid w:val="009E3BC5"/>
    <w:rsid w:val="009E3EE1"/>
    <w:rsid w:val="009F1046"/>
    <w:rsid w:val="009F117E"/>
    <w:rsid w:val="009F14BD"/>
    <w:rsid w:val="009F1578"/>
    <w:rsid w:val="009F17A9"/>
    <w:rsid w:val="009F1A99"/>
    <w:rsid w:val="009F287A"/>
    <w:rsid w:val="009F2CBC"/>
    <w:rsid w:val="00A00D4E"/>
    <w:rsid w:val="00A0194D"/>
    <w:rsid w:val="00A0260D"/>
    <w:rsid w:val="00A0263A"/>
    <w:rsid w:val="00A0266A"/>
    <w:rsid w:val="00A02A6D"/>
    <w:rsid w:val="00A03312"/>
    <w:rsid w:val="00A040A5"/>
    <w:rsid w:val="00A071FA"/>
    <w:rsid w:val="00A1009E"/>
    <w:rsid w:val="00A108AB"/>
    <w:rsid w:val="00A12132"/>
    <w:rsid w:val="00A12D18"/>
    <w:rsid w:val="00A1617D"/>
    <w:rsid w:val="00A20384"/>
    <w:rsid w:val="00A20889"/>
    <w:rsid w:val="00A20E3C"/>
    <w:rsid w:val="00A212E1"/>
    <w:rsid w:val="00A22BF5"/>
    <w:rsid w:val="00A23860"/>
    <w:rsid w:val="00A23FDB"/>
    <w:rsid w:val="00A24067"/>
    <w:rsid w:val="00A24208"/>
    <w:rsid w:val="00A30735"/>
    <w:rsid w:val="00A34836"/>
    <w:rsid w:val="00A3514C"/>
    <w:rsid w:val="00A36703"/>
    <w:rsid w:val="00A368DD"/>
    <w:rsid w:val="00A37B0C"/>
    <w:rsid w:val="00A37FC5"/>
    <w:rsid w:val="00A400A6"/>
    <w:rsid w:val="00A42766"/>
    <w:rsid w:val="00A45FDF"/>
    <w:rsid w:val="00A51818"/>
    <w:rsid w:val="00A52160"/>
    <w:rsid w:val="00A5242C"/>
    <w:rsid w:val="00A524F2"/>
    <w:rsid w:val="00A55985"/>
    <w:rsid w:val="00A61448"/>
    <w:rsid w:val="00A627D6"/>
    <w:rsid w:val="00A666CB"/>
    <w:rsid w:val="00A667C9"/>
    <w:rsid w:val="00A67227"/>
    <w:rsid w:val="00A67556"/>
    <w:rsid w:val="00A736B9"/>
    <w:rsid w:val="00A738D2"/>
    <w:rsid w:val="00A808B6"/>
    <w:rsid w:val="00A91808"/>
    <w:rsid w:val="00A92EDE"/>
    <w:rsid w:val="00A94782"/>
    <w:rsid w:val="00A95E19"/>
    <w:rsid w:val="00A96B46"/>
    <w:rsid w:val="00A96E46"/>
    <w:rsid w:val="00AA05C4"/>
    <w:rsid w:val="00AA0A4F"/>
    <w:rsid w:val="00AA4C67"/>
    <w:rsid w:val="00AA671E"/>
    <w:rsid w:val="00AA6851"/>
    <w:rsid w:val="00AA6DF0"/>
    <w:rsid w:val="00AA784A"/>
    <w:rsid w:val="00AB4476"/>
    <w:rsid w:val="00AB530C"/>
    <w:rsid w:val="00AB64DD"/>
    <w:rsid w:val="00AB6F03"/>
    <w:rsid w:val="00AC08D0"/>
    <w:rsid w:val="00AC0F27"/>
    <w:rsid w:val="00AC3B0E"/>
    <w:rsid w:val="00AC45E9"/>
    <w:rsid w:val="00AC47A6"/>
    <w:rsid w:val="00AC5041"/>
    <w:rsid w:val="00AD03C8"/>
    <w:rsid w:val="00AD0FDC"/>
    <w:rsid w:val="00AD124D"/>
    <w:rsid w:val="00AD428C"/>
    <w:rsid w:val="00AD42B3"/>
    <w:rsid w:val="00AD7F0A"/>
    <w:rsid w:val="00AE1079"/>
    <w:rsid w:val="00AE13FF"/>
    <w:rsid w:val="00AE3070"/>
    <w:rsid w:val="00AE44E2"/>
    <w:rsid w:val="00AE6308"/>
    <w:rsid w:val="00AE649C"/>
    <w:rsid w:val="00AF1382"/>
    <w:rsid w:val="00AF20EC"/>
    <w:rsid w:val="00AF2CF6"/>
    <w:rsid w:val="00AF4D06"/>
    <w:rsid w:val="00AF653E"/>
    <w:rsid w:val="00AF7677"/>
    <w:rsid w:val="00AF7EE5"/>
    <w:rsid w:val="00B012AF"/>
    <w:rsid w:val="00B01307"/>
    <w:rsid w:val="00B0200A"/>
    <w:rsid w:val="00B0324F"/>
    <w:rsid w:val="00B03D0D"/>
    <w:rsid w:val="00B04151"/>
    <w:rsid w:val="00B0492A"/>
    <w:rsid w:val="00B04F91"/>
    <w:rsid w:val="00B102A4"/>
    <w:rsid w:val="00B10E87"/>
    <w:rsid w:val="00B111C9"/>
    <w:rsid w:val="00B12022"/>
    <w:rsid w:val="00B1398F"/>
    <w:rsid w:val="00B159F8"/>
    <w:rsid w:val="00B168EE"/>
    <w:rsid w:val="00B210CD"/>
    <w:rsid w:val="00B21CEA"/>
    <w:rsid w:val="00B227D0"/>
    <w:rsid w:val="00B22AE8"/>
    <w:rsid w:val="00B24CBD"/>
    <w:rsid w:val="00B2517A"/>
    <w:rsid w:val="00B261BA"/>
    <w:rsid w:val="00B27058"/>
    <w:rsid w:val="00B30BD3"/>
    <w:rsid w:val="00B32A13"/>
    <w:rsid w:val="00B3458F"/>
    <w:rsid w:val="00B34782"/>
    <w:rsid w:val="00B35CFC"/>
    <w:rsid w:val="00B3618F"/>
    <w:rsid w:val="00B4156B"/>
    <w:rsid w:val="00B42D13"/>
    <w:rsid w:val="00B4353E"/>
    <w:rsid w:val="00B43CF0"/>
    <w:rsid w:val="00B44285"/>
    <w:rsid w:val="00B450F2"/>
    <w:rsid w:val="00B451FD"/>
    <w:rsid w:val="00B46770"/>
    <w:rsid w:val="00B46811"/>
    <w:rsid w:val="00B51F9A"/>
    <w:rsid w:val="00B52A57"/>
    <w:rsid w:val="00B551EF"/>
    <w:rsid w:val="00B55755"/>
    <w:rsid w:val="00B61176"/>
    <w:rsid w:val="00B62800"/>
    <w:rsid w:val="00B64011"/>
    <w:rsid w:val="00B64AF4"/>
    <w:rsid w:val="00B7097E"/>
    <w:rsid w:val="00B725B0"/>
    <w:rsid w:val="00B72AB0"/>
    <w:rsid w:val="00B7317B"/>
    <w:rsid w:val="00B7351F"/>
    <w:rsid w:val="00B74D8F"/>
    <w:rsid w:val="00B759AC"/>
    <w:rsid w:val="00B762BA"/>
    <w:rsid w:val="00B7639F"/>
    <w:rsid w:val="00B77500"/>
    <w:rsid w:val="00B77CF2"/>
    <w:rsid w:val="00B80552"/>
    <w:rsid w:val="00B81396"/>
    <w:rsid w:val="00B816E6"/>
    <w:rsid w:val="00B81E00"/>
    <w:rsid w:val="00B85935"/>
    <w:rsid w:val="00B86240"/>
    <w:rsid w:val="00B87330"/>
    <w:rsid w:val="00B90789"/>
    <w:rsid w:val="00B9088B"/>
    <w:rsid w:val="00B92064"/>
    <w:rsid w:val="00B92CA2"/>
    <w:rsid w:val="00B93606"/>
    <w:rsid w:val="00B9387D"/>
    <w:rsid w:val="00B94845"/>
    <w:rsid w:val="00B95E94"/>
    <w:rsid w:val="00B9680A"/>
    <w:rsid w:val="00B978B2"/>
    <w:rsid w:val="00BA0511"/>
    <w:rsid w:val="00BA197E"/>
    <w:rsid w:val="00BA2A67"/>
    <w:rsid w:val="00BA4757"/>
    <w:rsid w:val="00BA5DD4"/>
    <w:rsid w:val="00BA603A"/>
    <w:rsid w:val="00BB06DD"/>
    <w:rsid w:val="00BB0BE3"/>
    <w:rsid w:val="00BB0F36"/>
    <w:rsid w:val="00BB1741"/>
    <w:rsid w:val="00BB2563"/>
    <w:rsid w:val="00BB2DCA"/>
    <w:rsid w:val="00BC0FCD"/>
    <w:rsid w:val="00BC1657"/>
    <w:rsid w:val="00BC2B70"/>
    <w:rsid w:val="00BC3693"/>
    <w:rsid w:val="00BC3DE1"/>
    <w:rsid w:val="00BC632F"/>
    <w:rsid w:val="00BC636C"/>
    <w:rsid w:val="00BD04E8"/>
    <w:rsid w:val="00BD2514"/>
    <w:rsid w:val="00BD2875"/>
    <w:rsid w:val="00BD2BF3"/>
    <w:rsid w:val="00BD472E"/>
    <w:rsid w:val="00BE26F6"/>
    <w:rsid w:val="00BE3EEA"/>
    <w:rsid w:val="00BE4269"/>
    <w:rsid w:val="00BE56E3"/>
    <w:rsid w:val="00BE5915"/>
    <w:rsid w:val="00BE5D3B"/>
    <w:rsid w:val="00BF27A2"/>
    <w:rsid w:val="00BF49C3"/>
    <w:rsid w:val="00BF4CEB"/>
    <w:rsid w:val="00BF6C72"/>
    <w:rsid w:val="00BF79AE"/>
    <w:rsid w:val="00C00761"/>
    <w:rsid w:val="00C01907"/>
    <w:rsid w:val="00C0238A"/>
    <w:rsid w:val="00C02F07"/>
    <w:rsid w:val="00C02FAF"/>
    <w:rsid w:val="00C04A2F"/>
    <w:rsid w:val="00C07B28"/>
    <w:rsid w:val="00C1095A"/>
    <w:rsid w:val="00C10F65"/>
    <w:rsid w:val="00C16B34"/>
    <w:rsid w:val="00C170DA"/>
    <w:rsid w:val="00C24A48"/>
    <w:rsid w:val="00C24B28"/>
    <w:rsid w:val="00C26438"/>
    <w:rsid w:val="00C27767"/>
    <w:rsid w:val="00C31B6A"/>
    <w:rsid w:val="00C3203D"/>
    <w:rsid w:val="00C32728"/>
    <w:rsid w:val="00C3551B"/>
    <w:rsid w:val="00C3562C"/>
    <w:rsid w:val="00C35D05"/>
    <w:rsid w:val="00C36B91"/>
    <w:rsid w:val="00C36DE6"/>
    <w:rsid w:val="00C4053F"/>
    <w:rsid w:val="00C405D9"/>
    <w:rsid w:val="00C40D98"/>
    <w:rsid w:val="00C4130F"/>
    <w:rsid w:val="00C42B5D"/>
    <w:rsid w:val="00C451EC"/>
    <w:rsid w:val="00C46998"/>
    <w:rsid w:val="00C46FC2"/>
    <w:rsid w:val="00C54C1B"/>
    <w:rsid w:val="00C54C1E"/>
    <w:rsid w:val="00C54D56"/>
    <w:rsid w:val="00C55530"/>
    <w:rsid w:val="00C5677B"/>
    <w:rsid w:val="00C579CA"/>
    <w:rsid w:val="00C625B6"/>
    <w:rsid w:val="00C62914"/>
    <w:rsid w:val="00C644BF"/>
    <w:rsid w:val="00C64CEE"/>
    <w:rsid w:val="00C66A53"/>
    <w:rsid w:val="00C67540"/>
    <w:rsid w:val="00C70B97"/>
    <w:rsid w:val="00C71C90"/>
    <w:rsid w:val="00C7463C"/>
    <w:rsid w:val="00C74CE6"/>
    <w:rsid w:val="00C752FC"/>
    <w:rsid w:val="00C77E10"/>
    <w:rsid w:val="00C829B9"/>
    <w:rsid w:val="00C84670"/>
    <w:rsid w:val="00C859CC"/>
    <w:rsid w:val="00C91A4A"/>
    <w:rsid w:val="00C929BF"/>
    <w:rsid w:val="00C93592"/>
    <w:rsid w:val="00C93C92"/>
    <w:rsid w:val="00C94BB7"/>
    <w:rsid w:val="00C94C44"/>
    <w:rsid w:val="00CA0563"/>
    <w:rsid w:val="00CA651A"/>
    <w:rsid w:val="00CA7D70"/>
    <w:rsid w:val="00CB2388"/>
    <w:rsid w:val="00CB3378"/>
    <w:rsid w:val="00CB38B0"/>
    <w:rsid w:val="00CB5BBF"/>
    <w:rsid w:val="00CB62C1"/>
    <w:rsid w:val="00CB7099"/>
    <w:rsid w:val="00CB784C"/>
    <w:rsid w:val="00CB7888"/>
    <w:rsid w:val="00CC29B4"/>
    <w:rsid w:val="00CC4489"/>
    <w:rsid w:val="00CC549C"/>
    <w:rsid w:val="00CC6B3B"/>
    <w:rsid w:val="00CC6E8E"/>
    <w:rsid w:val="00CC7668"/>
    <w:rsid w:val="00CD4001"/>
    <w:rsid w:val="00CD5C71"/>
    <w:rsid w:val="00CD7B74"/>
    <w:rsid w:val="00CE18C4"/>
    <w:rsid w:val="00CE206B"/>
    <w:rsid w:val="00CE43BF"/>
    <w:rsid w:val="00CE4A8B"/>
    <w:rsid w:val="00CE59EB"/>
    <w:rsid w:val="00CE5A24"/>
    <w:rsid w:val="00CE628B"/>
    <w:rsid w:val="00CE728A"/>
    <w:rsid w:val="00CF1EBB"/>
    <w:rsid w:val="00CF2340"/>
    <w:rsid w:val="00CF42CD"/>
    <w:rsid w:val="00D005D4"/>
    <w:rsid w:val="00D016ED"/>
    <w:rsid w:val="00D01B5B"/>
    <w:rsid w:val="00D02D33"/>
    <w:rsid w:val="00D02DEE"/>
    <w:rsid w:val="00D0312F"/>
    <w:rsid w:val="00D0444D"/>
    <w:rsid w:val="00D05B85"/>
    <w:rsid w:val="00D07884"/>
    <w:rsid w:val="00D07F24"/>
    <w:rsid w:val="00D1107B"/>
    <w:rsid w:val="00D11B61"/>
    <w:rsid w:val="00D12649"/>
    <w:rsid w:val="00D12D13"/>
    <w:rsid w:val="00D20E7F"/>
    <w:rsid w:val="00D22D36"/>
    <w:rsid w:val="00D2412A"/>
    <w:rsid w:val="00D27B38"/>
    <w:rsid w:val="00D337C1"/>
    <w:rsid w:val="00D341EE"/>
    <w:rsid w:val="00D357FD"/>
    <w:rsid w:val="00D36C19"/>
    <w:rsid w:val="00D3764B"/>
    <w:rsid w:val="00D42391"/>
    <w:rsid w:val="00D428C9"/>
    <w:rsid w:val="00D43E80"/>
    <w:rsid w:val="00D46A3E"/>
    <w:rsid w:val="00D4718B"/>
    <w:rsid w:val="00D51FD7"/>
    <w:rsid w:val="00D525B4"/>
    <w:rsid w:val="00D54817"/>
    <w:rsid w:val="00D557B4"/>
    <w:rsid w:val="00D5646C"/>
    <w:rsid w:val="00D56E14"/>
    <w:rsid w:val="00D63E4B"/>
    <w:rsid w:val="00D67565"/>
    <w:rsid w:val="00D67BEF"/>
    <w:rsid w:val="00D67DD5"/>
    <w:rsid w:val="00D70CCA"/>
    <w:rsid w:val="00D73C81"/>
    <w:rsid w:val="00D74CCD"/>
    <w:rsid w:val="00D76E9D"/>
    <w:rsid w:val="00D77BEA"/>
    <w:rsid w:val="00D82F4D"/>
    <w:rsid w:val="00D84D3E"/>
    <w:rsid w:val="00D85145"/>
    <w:rsid w:val="00D86467"/>
    <w:rsid w:val="00D870D7"/>
    <w:rsid w:val="00D935B5"/>
    <w:rsid w:val="00D954E0"/>
    <w:rsid w:val="00DA09E5"/>
    <w:rsid w:val="00DA1334"/>
    <w:rsid w:val="00DA1679"/>
    <w:rsid w:val="00DA1F1D"/>
    <w:rsid w:val="00DA3396"/>
    <w:rsid w:val="00DB075D"/>
    <w:rsid w:val="00DB15D8"/>
    <w:rsid w:val="00DB1EFD"/>
    <w:rsid w:val="00DB1F4A"/>
    <w:rsid w:val="00DB3747"/>
    <w:rsid w:val="00DB5C8F"/>
    <w:rsid w:val="00DB7D11"/>
    <w:rsid w:val="00DC280D"/>
    <w:rsid w:val="00DC45AD"/>
    <w:rsid w:val="00DC4AEB"/>
    <w:rsid w:val="00DC60F3"/>
    <w:rsid w:val="00DC6A0B"/>
    <w:rsid w:val="00DC6E5E"/>
    <w:rsid w:val="00DC6F31"/>
    <w:rsid w:val="00DD06E6"/>
    <w:rsid w:val="00DD0D2C"/>
    <w:rsid w:val="00DD14B7"/>
    <w:rsid w:val="00DD56FB"/>
    <w:rsid w:val="00DD5FC0"/>
    <w:rsid w:val="00DD70E3"/>
    <w:rsid w:val="00DD7E6D"/>
    <w:rsid w:val="00DE605E"/>
    <w:rsid w:val="00DE7E75"/>
    <w:rsid w:val="00DF014E"/>
    <w:rsid w:val="00DF29E0"/>
    <w:rsid w:val="00DF2D51"/>
    <w:rsid w:val="00DF3106"/>
    <w:rsid w:val="00DF3B82"/>
    <w:rsid w:val="00DF6A3C"/>
    <w:rsid w:val="00E00117"/>
    <w:rsid w:val="00E00DA0"/>
    <w:rsid w:val="00E0136F"/>
    <w:rsid w:val="00E0333C"/>
    <w:rsid w:val="00E048AF"/>
    <w:rsid w:val="00E05A06"/>
    <w:rsid w:val="00E0670C"/>
    <w:rsid w:val="00E07E8A"/>
    <w:rsid w:val="00E11F16"/>
    <w:rsid w:val="00E13505"/>
    <w:rsid w:val="00E14AE4"/>
    <w:rsid w:val="00E1605D"/>
    <w:rsid w:val="00E17361"/>
    <w:rsid w:val="00E17F89"/>
    <w:rsid w:val="00E219F3"/>
    <w:rsid w:val="00E22507"/>
    <w:rsid w:val="00E227B7"/>
    <w:rsid w:val="00E261F8"/>
    <w:rsid w:val="00E26E56"/>
    <w:rsid w:val="00E27D6C"/>
    <w:rsid w:val="00E30ECD"/>
    <w:rsid w:val="00E34189"/>
    <w:rsid w:val="00E343E5"/>
    <w:rsid w:val="00E34497"/>
    <w:rsid w:val="00E35AAD"/>
    <w:rsid w:val="00E36E55"/>
    <w:rsid w:val="00E37414"/>
    <w:rsid w:val="00E375CB"/>
    <w:rsid w:val="00E401AC"/>
    <w:rsid w:val="00E40B89"/>
    <w:rsid w:val="00E41E10"/>
    <w:rsid w:val="00E425A1"/>
    <w:rsid w:val="00E427E2"/>
    <w:rsid w:val="00E4406D"/>
    <w:rsid w:val="00E44B5B"/>
    <w:rsid w:val="00E44DD1"/>
    <w:rsid w:val="00E45645"/>
    <w:rsid w:val="00E45F08"/>
    <w:rsid w:val="00E50226"/>
    <w:rsid w:val="00E5195D"/>
    <w:rsid w:val="00E51D85"/>
    <w:rsid w:val="00E51EC1"/>
    <w:rsid w:val="00E545CE"/>
    <w:rsid w:val="00E55199"/>
    <w:rsid w:val="00E5623B"/>
    <w:rsid w:val="00E56BC1"/>
    <w:rsid w:val="00E6028C"/>
    <w:rsid w:val="00E6297D"/>
    <w:rsid w:val="00E62A0D"/>
    <w:rsid w:val="00E62AD8"/>
    <w:rsid w:val="00E638A9"/>
    <w:rsid w:val="00E65AFA"/>
    <w:rsid w:val="00E65E39"/>
    <w:rsid w:val="00E67ED8"/>
    <w:rsid w:val="00E70CD0"/>
    <w:rsid w:val="00E752D7"/>
    <w:rsid w:val="00E757C0"/>
    <w:rsid w:val="00E77A63"/>
    <w:rsid w:val="00E84E2E"/>
    <w:rsid w:val="00E85DAC"/>
    <w:rsid w:val="00E86E5B"/>
    <w:rsid w:val="00E871EE"/>
    <w:rsid w:val="00E87705"/>
    <w:rsid w:val="00E915A0"/>
    <w:rsid w:val="00E91ACE"/>
    <w:rsid w:val="00E931AC"/>
    <w:rsid w:val="00E94D55"/>
    <w:rsid w:val="00E95330"/>
    <w:rsid w:val="00E95F3D"/>
    <w:rsid w:val="00E96981"/>
    <w:rsid w:val="00EA0D2E"/>
    <w:rsid w:val="00EA114E"/>
    <w:rsid w:val="00EA281E"/>
    <w:rsid w:val="00EA29E7"/>
    <w:rsid w:val="00EA3338"/>
    <w:rsid w:val="00EA54B4"/>
    <w:rsid w:val="00EA5C94"/>
    <w:rsid w:val="00EA5CB5"/>
    <w:rsid w:val="00EA7F70"/>
    <w:rsid w:val="00EB05E1"/>
    <w:rsid w:val="00EB1429"/>
    <w:rsid w:val="00EB14C4"/>
    <w:rsid w:val="00EB285D"/>
    <w:rsid w:val="00EB38B9"/>
    <w:rsid w:val="00EB5EF2"/>
    <w:rsid w:val="00EB716C"/>
    <w:rsid w:val="00EC0377"/>
    <w:rsid w:val="00EC0BCD"/>
    <w:rsid w:val="00EC2F15"/>
    <w:rsid w:val="00EC6418"/>
    <w:rsid w:val="00EC6A14"/>
    <w:rsid w:val="00ED033C"/>
    <w:rsid w:val="00ED1955"/>
    <w:rsid w:val="00ED7F61"/>
    <w:rsid w:val="00EE0B2D"/>
    <w:rsid w:val="00EE1005"/>
    <w:rsid w:val="00EE12B3"/>
    <w:rsid w:val="00EE2D40"/>
    <w:rsid w:val="00EE2FF5"/>
    <w:rsid w:val="00EE62DE"/>
    <w:rsid w:val="00EE7BFE"/>
    <w:rsid w:val="00EF263A"/>
    <w:rsid w:val="00EF5AA3"/>
    <w:rsid w:val="00EF5B16"/>
    <w:rsid w:val="00EF6E00"/>
    <w:rsid w:val="00EF7EEC"/>
    <w:rsid w:val="00F0165F"/>
    <w:rsid w:val="00F02892"/>
    <w:rsid w:val="00F04BFC"/>
    <w:rsid w:val="00F06229"/>
    <w:rsid w:val="00F07C11"/>
    <w:rsid w:val="00F2026E"/>
    <w:rsid w:val="00F218C5"/>
    <w:rsid w:val="00F2217A"/>
    <w:rsid w:val="00F224C5"/>
    <w:rsid w:val="00F25827"/>
    <w:rsid w:val="00F25CD0"/>
    <w:rsid w:val="00F25F13"/>
    <w:rsid w:val="00F27F42"/>
    <w:rsid w:val="00F359B2"/>
    <w:rsid w:val="00F379F8"/>
    <w:rsid w:val="00F37C29"/>
    <w:rsid w:val="00F37F8C"/>
    <w:rsid w:val="00F41EAB"/>
    <w:rsid w:val="00F43A69"/>
    <w:rsid w:val="00F44692"/>
    <w:rsid w:val="00F4704A"/>
    <w:rsid w:val="00F50597"/>
    <w:rsid w:val="00F52121"/>
    <w:rsid w:val="00F53879"/>
    <w:rsid w:val="00F55733"/>
    <w:rsid w:val="00F55FBE"/>
    <w:rsid w:val="00F57AFC"/>
    <w:rsid w:val="00F57BD8"/>
    <w:rsid w:val="00F6084C"/>
    <w:rsid w:val="00F62FD5"/>
    <w:rsid w:val="00F639D4"/>
    <w:rsid w:val="00F65040"/>
    <w:rsid w:val="00F657CB"/>
    <w:rsid w:val="00F7037D"/>
    <w:rsid w:val="00F712DD"/>
    <w:rsid w:val="00F7201E"/>
    <w:rsid w:val="00F734B2"/>
    <w:rsid w:val="00F73746"/>
    <w:rsid w:val="00F75334"/>
    <w:rsid w:val="00F7750A"/>
    <w:rsid w:val="00F7768E"/>
    <w:rsid w:val="00F805A3"/>
    <w:rsid w:val="00F8083E"/>
    <w:rsid w:val="00F84442"/>
    <w:rsid w:val="00F84B8C"/>
    <w:rsid w:val="00F86728"/>
    <w:rsid w:val="00F953CA"/>
    <w:rsid w:val="00FA094F"/>
    <w:rsid w:val="00FA1D7D"/>
    <w:rsid w:val="00FA2D89"/>
    <w:rsid w:val="00FA3FE2"/>
    <w:rsid w:val="00FA46F7"/>
    <w:rsid w:val="00FA568C"/>
    <w:rsid w:val="00FA57AA"/>
    <w:rsid w:val="00FA787B"/>
    <w:rsid w:val="00FA7DE3"/>
    <w:rsid w:val="00FB08A7"/>
    <w:rsid w:val="00FB2646"/>
    <w:rsid w:val="00FB2B66"/>
    <w:rsid w:val="00FB3864"/>
    <w:rsid w:val="00FB4725"/>
    <w:rsid w:val="00FB4E6B"/>
    <w:rsid w:val="00FB6D01"/>
    <w:rsid w:val="00FC0B36"/>
    <w:rsid w:val="00FC0EA9"/>
    <w:rsid w:val="00FC2B98"/>
    <w:rsid w:val="00FC76A1"/>
    <w:rsid w:val="00FD1B77"/>
    <w:rsid w:val="00FD27D9"/>
    <w:rsid w:val="00FD559D"/>
    <w:rsid w:val="00FD5AD5"/>
    <w:rsid w:val="00FE0A29"/>
    <w:rsid w:val="00FE0E9C"/>
    <w:rsid w:val="00FE2B48"/>
    <w:rsid w:val="00FE714A"/>
    <w:rsid w:val="00FE714F"/>
    <w:rsid w:val="00FE7365"/>
    <w:rsid w:val="00FE783C"/>
    <w:rsid w:val="00FF05BE"/>
    <w:rsid w:val="00FF0D76"/>
    <w:rsid w:val="00FF1261"/>
    <w:rsid w:val="00FF1A9F"/>
    <w:rsid w:val="00FF4295"/>
    <w:rsid w:val="00FF4717"/>
    <w:rsid w:val="00FF47AB"/>
    <w:rsid w:val="00FF607F"/>
    <w:rsid w:val="00FF726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58B"/>
    <w:pPr>
      <w:widowControl w:val="0"/>
      <w:adjustRightInd w:val="0"/>
      <w:spacing w:line="360" w:lineRule="atLeast"/>
      <w:jc w:val="both"/>
      <w:textAlignment w:val="baseline"/>
    </w:pPr>
    <w:rPr>
      <w:rFonts w:eastAsia="PMingLiU"/>
      <w:sz w:val="20"/>
      <w:szCs w:val="20"/>
      <w:lang w:val="en-AU"/>
    </w:rPr>
  </w:style>
  <w:style w:type="paragraph" w:styleId="Heading2">
    <w:name w:val="heading 2"/>
    <w:basedOn w:val="Normal"/>
    <w:next w:val="Normal"/>
    <w:link w:val="Heading2Char"/>
    <w:uiPriority w:val="99"/>
    <w:qFormat/>
    <w:rsid w:val="0050058B"/>
    <w:pPr>
      <w:keepNext/>
      <w:jc w:val="right"/>
      <w:outlineLvl w:val="1"/>
    </w:pPr>
    <w:rPr>
      <w:sz w:val="24"/>
      <w:lang w:val="el-GR"/>
    </w:rPr>
  </w:style>
  <w:style w:type="paragraph" w:styleId="Heading3">
    <w:name w:val="heading 3"/>
    <w:basedOn w:val="Normal"/>
    <w:next w:val="Normal"/>
    <w:link w:val="Heading3Char"/>
    <w:uiPriority w:val="99"/>
    <w:qFormat/>
    <w:rsid w:val="0050058B"/>
    <w:pPr>
      <w:keepNext/>
      <w:outlineLvl w:val="2"/>
    </w:pPr>
    <w:rPr>
      <w:b/>
      <w:sz w:val="28"/>
      <w:lang w:val="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A57A8"/>
    <w:rPr>
      <w:rFonts w:asciiTheme="majorHAnsi" w:eastAsiaTheme="majorEastAsia" w:hAnsiTheme="majorHAnsi" w:cstheme="majorBidi"/>
      <w:b/>
      <w:bCs/>
      <w:i/>
      <w:iCs/>
      <w:sz w:val="28"/>
      <w:szCs w:val="28"/>
      <w:lang w:val="en-AU"/>
    </w:rPr>
  </w:style>
  <w:style w:type="character" w:customStyle="1" w:styleId="Heading3Char">
    <w:name w:val="Heading 3 Char"/>
    <w:basedOn w:val="DefaultParagraphFont"/>
    <w:link w:val="Heading3"/>
    <w:uiPriority w:val="9"/>
    <w:semiHidden/>
    <w:rsid w:val="004A57A8"/>
    <w:rPr>
      <w:rFonts w:asciiTheme="majorHAnsi" w:eastAsiaTheme="majorEastAsia" w:hAnsiTheme="majorHAnsi" w:cstheme="majorBidi"/>
      <w:b/>
      <w:bCs/>
      <w:sz w:val="26"/>
      <w:szCs w:val="26"/>
      <w:lang w:val="en-AU"/>
    </w:rPr>
  </w:style>
  <w:style w:type="paragraph" w:styleId="Header">
    <w:name w:val="header"/>
    <w:basedOn w:val="Normal"/>
    <w:link w:val="HeaderChar"/>
    <w:uiPriority w:val="99"/>
    <w:rsid w:val="009B0A14"/>
    <w:pPr>
      <w:tabs>
        <w:tab w:val="center" w:pos="4320"/>
        <w:tab w:val="right" w:pos="8640"/>
      </w:tabs>
    </w:pPr>
  </w:style>
  <w:style w:type="character" w:customStyle="1" w:styleId="HeaderChar">
    <w:name w:val="Header Char"/>
    <w:basedOn w:val="DefaultParagraphFont"/>
    <w:link w:val="Header"/>
    <w:uiPriority w:val="99"/>
    <w:semiHidden/>
    <w:rsid w:val="004A57A8"/>
    <w:rPr>
      <w:rFonts w:eastAsia="PMingLiU"/>
      <w:sz w:val="20"/>
      <w:szCs w:val="20"/>
      <w:lang w:val="en-AU"/>
    </w:rPr>
  </w:style>
  <w:style w:type="paragraph" w:styleId="Footer">
    <w:name w:val="footer"/>
    <w:basedOn w:val="Normal"/>
    <w:link w:val="FooterChar"/>
    <w:uiPriority w:val="99"/>
    <w:rsid w:val="009B0A14"/>
    <w:pPr>
      <w:tabs>
        <w:tab w:val="center" w:pos="4320"/>
        <w:tab w:val="right" w:pos="8640"/>
      </w:tabs>
    </w:pPr>
  </w:style>
  <w:style w:type="character" w:customStyle="1" w:styleId="FooterChar">
    <w:name w:val="Footer Char"/>
    <w:basedOn w:val="DefaultParagraphFont"/>
    <w:link w:val="Footer"/>
    <w:uiPriority w:val="99"/>
    <w:semiHidden/>
    <w:rsid w:val="004A57A8"/>
    <w:rPr>
      <w:rFonts w:eastAsia="PMingLiU"/>
      <w:sz w:val="20"/>
      <w:szCs w:val="20"/>
      <w:lang w:val="en-AU"/>
    </w:rPr>
  </w:style>
  <w:style w:type="paragraph" w:customStyle="1" w:styleId="GraphTitle">
    <w:name w:val="Graph Title"/>
    <w:basedOn w:val="Normal"/>
    <w:uiPriority w:val="99"/>
    <w:rsid w:val="00340283"/>
  </w:style>
  <w:style w:type="paragraph" w:customStyle="1" w:styleId="TableTitle">
    <w:name w:val="Table Title"/>
    <w:basedOn w:val="Normal"/>
    <w:uiPriority w:val="99"/>
    <w:rsid w:val="008474F4"/>
  </w:style>
  <w:style w:type="paragraph" w:customStyle="1" w:styleId="TableHeads">
    <w:name w:val="Table Heads"/>
    <w:basedOn w:val="Normal"/>
    <w:uiPriority w:val="99"/>
    <w:rsid w:val="008474F4"/>
  </w:style>
  <w:style w:type="paragraph" w:customStyle="1" w:styleId="TableBody">
    <w:name w:val="Table Body"/>
    <w:basedOn w:val="Normal"/>
    <w:uiPriority w:val="99"/>
    <w:rsid w:val="008474F4"/>
  </w:style>
  <w:style w:type="paragraph" w:customStyle="1" w:styleId="TableNote">
    <w:name w:val="Table Note"/>
    <w:basedOn w:val="TableBody"/>
    <w:uiPriority w:val="99"/>
    <w:rsid w:val="008474F4"/>
    <w:pPr>
      <w:jc w:val="right"/>
    </w:pPr>
  </w:style>
  <w:style w:type="paragraph" w:styleId="BlockText">
    <w:name w:val="Block Text"/>
    <w:basedOn w:val="Normal"/>
    <w:uiPriority w:val="99"/>
    <w:rsid w:val="0050058B"/>
    <w:pPr>
      <w:ind w:left="709" w:right="-199" w:hanging="360"/>
    </w:pPr>
    <w:rPr>
      <w:rFonts w:ascii="Arial" w:hAnsi="Arial"/>
      <w:bCs/>
      <w:sz w:val="22"/>
      <w:lang w:val="el-GR"/>
    </w:rPr>
  </w:style>
  <w:style w:type="paragraph" w:styleId="BodyTextIndent">
    <w:name w:val="Body Text Indent"/>
    <w:basedOn w:val="Normal"/>
    <w:link w:val="BodyTextIndentChar"/>
    <w:uiPriority w:val="99"/>
    <w:rsid w:val="0050058B"/>
    <w:pPr>
      <w:ind w:left="284"/>
    </w:pPr>
    <w:rPr>
      <w:rFonts w:ascii="Arial" w:hAnsi="Arial"/>
      <w:sz w:val="22"/>
      <w:lang w:val="el-GR"/>
    </w:rPr>
  </w:style>
  <w:style w:type="character" w:customStyle="1" w:styleId="BodyTextIndentChar">
    <w:name w:val="Body Text Indent Char"/>
    <w:basedOn w:val="DefaultParagraphFont"/>
    <w:link w:val="BodyTextIndent"/>
    <w:uiPriority w:val="99"/>
    <w:semiHidden/>
    <w:rsid w:val="004A57A8"/>
    <w:rPr>
      <w:rFonts w:eastAsia="PMingLiU"/>
      <w:sz w:val="20"/>
      <w:szCs w:val="20"/>
      <w:lang w:val="en-AU"/>
    </w:rPr>
  </w:style>
  <w:style w:type="paragraph" w:customStyle="1" w:styleId="Bullet01">
    <w:name w:val="Bullet 01"/>
    <w:basedOn w:val="Normal"/>
    <w:uiPriority w:val="99"/>
    <w:rsid w:val="0050058B"/>
    <w:pPr>
      <w:numPr>
        <w:numId w:val="2"/>
      </w:numPr>
      <w:snapToGrid w:val="0"/>
      <w:spacing w:line="360" w:lineRule="auto"/>
    </w:pPr>
    <w:rPr>
      <w:rFonts w:ascii="Arial" w:hAnsi="Arial" w:cs="Arial"/>
      <w:lang w:val="en-US"/>
    </w:rPr>
  </w:style>
  <w:style w:type="paragraph" w:customStyle="1" w:styleId="Bullet02">
    <w:name w:val="Bullet 02"/>
    <w:basedOn w:val="Normal"/>
    <w:uiPriority w:val="99"/>
    <w:rsid w:val="0050058B"/>
    <w:pPr>
      <w:numPr>
        <w:ilvl w:val="1"/>
        <w:numId w:val="2"/>
      </w:numPr>
      <w:tabs>
        <w:tab w:val="clear" w:pos="1440"/>
        <w:tab w:val="num" w:pos="1134"/>
      </w:tabs>
      <w:snapToGrid w:val="0"/>
      <w:spacing w:line="360" w:lineRule="auto"/>
      <w:ind w:hanging="731"/>
    </w:pPr>
    <w:rPr>
      <w:rFonts w:ascii="Arial" w:hAnsi="Arial" w:cs="Arial"/>
      <w:lang w:val="en-US"/>
    </w:rPr>
  </w:style>
  <w:style w:type="paragraph" w:customStyle="1" w:styleId="Bullet03">
    <w:name w:val="Bullet 03"/>
    <w:basedOn w:val="Bullet02"/>
    <w:uiPriority w:val="99"/>
    <w:rsid w:val="0050058B"/>
    <w:pPr>
      <w:ind w:left="1134" w:hanging="425"/>
    </w:pPr>
  </w:style>
  <w:style w:type="table" w:styleId="TableGrid">
    <w:name w:val="Table Grid"/>
    <w:basedOn w:val="TableNormal"/>
    <w:uiPriority w:val="99"/>
    <w:rsid w:val="0050058B"/>
    <w:pPr>
      <w:widowControl w:val="0"/>
      <w:adjustRightInd w:val="0"/>
      <w:spacing w:line="360" w:lineRule="atLeast"/>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816E6"/>
    <w:rPr>
      <w:rFonts w:cs="Times New Roman"/>
    </w:rPr>
  </w:style>
  <w:style w:type="paragraph" w:styleId="BalloonText">
    <w:name w:val="Balloon Text"/>
    <w:basedOn w:val="Normal"/>
    <w:link w:val="BalloonTextChar"/>
    <w:uiPriority w:val="99"/>
    <w:rsid w:val="009D6367"/>
    <w:rPr>
      <w:rFonts w:ascii="Tahoma" w:hAnsi="Tahoma"/>
      <w:sz w:val="16"/>
      <w:szCs w:val="16"/>
    </w:rPr>
  </w:style>
  <w:style w:type="character" w:customStyle="1" w:styleId="BalloonTextChar">
    <w:name w:val="Balloon Text Char"/>
    <w:basedOn w:val="DefaultParagraphFont"/>
    <w:link w:val="BalloonText"/>
    <w:uiPriority w:val="99"/>
    <w:locked/>
    <w:rsid w:val="0072736A"/>
    <w:rPr>
      <w:rFonts w:ascii="Tahoma" w:eastAsia="PMingLiU" w:hAnsi="Tahoma"/>
      <w:sz w:val="16"/>
      <w:lang w:val="en-AU"/>
    </w:rPr>
  </w:style>
  <w:style w:type="character" w:styleId="CommentReference">
    <w:name w:val="annotation reference"/>
    <w:basedOn w:val="DefaultParagraphFont"/>
    <w:uiPriority w:val="99"/>
    <w:semiHidden/>
    <w:rsid w:val="003B4BF0"/>
    <w:rPr>
      <w:rFonts w:cs="Times New Roman"/>
      <w:sz w:val="16"/>
    </w:rPr>
  </w:style>
  <w:style w:type="paragraph" w:styleId="CommentText">
    <w:name w:val="annotation text"/>
    <w:basedOn w:val="Normal"/>
    <w:link w:val="CommentTextChar"/>
    <w:uiPriority w:val="99"/>
    <w:semiHidden/>
    <w:rsid w:val="003B4BF0"/>
  </w:style>
  <w:style w:type="character" w:customStyle="1" w:styleId="CommentTextChar">
    <w:name w:val="Comment Text Char"/>
    <w:basedOn w:val="DefaultParagraphFont"/>
    <w:link w:val="CommentText"/>
    <w:uiPriority w:val="99"/>
    <w:semiHidden/>
    <w:rsid w:val="004A57A8"/>
    <w:rPr>
      <w:rFonts w:eastAsia="PMingLiU"/>
      <w:sz w:val="20"/>
      <w:szCs w:val="20"/>
      <w:lang w:val="en-AU"/>
    </w:rPr>
  </w:style>
  <w:style w:type="paragraph" w:styleId="CommentSubject">
    <w:name w:val="annotation subject"/>
    <w:basedOn w:val="CommentText"/>
    <w:next w:val="CommentText"/>
    <w:link w:val="CommentSubjectChar"/>
    <w:uiPriority w:val="99"/>
    <w:semiHidden/>
    <w:rsid w:val="003B4BF0"/>
    <w:rPr>
      <w:b/>
      <w:bCs/>
    </w:rPr>
  </w:style>
  <w:style w:type="character" w:customStyle="1" w:styleId="CommentSubjectChar">
    <w:name w:val="Comment Subject Char"/>
    <w:basedOn w:val="CommentTextChar"/>
    <w:link w:val="CommentSubject"/>
    <w:uiPriority w:val="99"/>
    <w:semiHidden/>
    <w:rsid w:val="004A57A8"/>
    <w:rPr>
      <w:b/>
      <w:bCs/>
    </w:rPr>
  </w:style>
  <w:style w:type="character" w:styleId="Hyperlink">
    <w:name w:val="Hyperlink"/>
    <w:basedOn w:val="DefaultParagraphFont"/>
    <w:uiPriority w:val="99"/>
    <w:rsid w:val="00AF7EE5"/>
    <w:rPr>
      <w:rFonts w:cs="Times New Roman"/>
      <w:color w:val="0000FF"/>
      <w:u w:val="single"/>
    </w:rPr>
  </w:style>
  <w:style w:type="paragraph" w:styleId="ListParagraph">
    <w:name w:val="List Paragraph"/>
    <w:basedOn w:val="Normal"/>
    <w:uiPriority w:val="99"/>
    <w:qFormat/>
    <w:rsid w:val="00B03D0D"/>
    <w:pPr>
      <w:widowControl/>
      <w:adjustRightInd/>
      <w:spacing w:line="240" w:lineRule="auto"/>
      <w:ind w:left="720"/>
      <w:contextualSpacing/>
      <w:jc w:val="left"/>
      <w:textAlignment w:val="auto"/>
    </w:pPr>
    <w:rPr>
      <w:rFonts w:eastAsia="Times New Roman"/>
      <w:sz w:val="24"/>
      <w:szCs w:val="24"/>
      <w:lang w:val="en-GB" w:eastAsia="en-GB"/>
    </w:rPr>
  </w:style>
  <w:style w:type="paragraph" w:styleId="Revision">
    <w:name w:val="Revision"/>
    <w:hidden/>
    <w:uiPriority w:val="99"/>
    <w:semiHidden/>
    <w:rsid w:val="00217261"/>
    <w:rPr>
      <w:rFonts w:eastAsia="PMingLiU"/>
      <w:sz w:val="20"/>
      <w:szCs w:val="20"/>
      <w:lang w:val="en-AU"/>
    </w:rPr>
  </w:style>
</w:styles>
</file>

<file path=word/webSettings.xml><?xml version="1.0" encoding="utf-8"?>
<w:webSettings xmlns:r="http://schemas.openxmlformats.org/officeDocument/2006/relationships" xmlns:w="http://schemas.openxmlformats.org/wordprocessingml/2006/main">
  <w:divs>
    <w:div w:id="409929259">
      <w:marLeft w:val="0"/>
      <w:marRight w:val="0"/>
      <w:marTop w:val="0"/>
      <w:marBottom w:val="0"/>
      <w:divBdr>
        <w:top w:val="none" w:sz="0" w:space="0" w:color="auto"/>
        <w:left w:val="none" w:sz="0" w:space="0" w:color="auto"/>
        <w:bottom w:val="none" w:sz="0" w:space="0" w:color="auto"/>
        <w:right w:val="none" w:sz="0" w:space="0" w:color="auto"/>
      </w:divBdr>
      <w:divsChild>
        <w:div w:id="409929260">
          <w:marLeft w:val="0"/>
          <w:marRight w:val="0"/>
          <w:marTop w:val="0"/>
          <w:marBottom w:val="0"/>
          <w:divBdr>
            <w:top w:val="none" w:sz="0" w:space="0" w:color="auto"/>
            <w:left w:val="none" w:sz="0" w:space="0" w:color="auto"/>
            <w:bottom w:val="none" w:sz="0" w:space="0" w:color="auto"/>
            <w:right w:val="none" w:sz="0" w:space="0" w:color="auto"/>
          </w:divBdr>
        </w:div>
      </w:divsChild>
    </w:div>
    <w:div w:id="409929263">
      <w:marLeft w:val="0"/>
      <w:marRight w:val="0"/>
      <w:marTop w:val="0"/>
      <w:marBottom w:val="0"/>
      <w:divBdr>
        <w:top w:val="none" w:sz="0" w:space="0" w:color="auto"/>
        <w:left w:val="none" w:sz="0" w:space="0" w:color="auto"/>
        <w:bottom w:val="none" w:sz="0" w:space="0" w:color="auto"/>
        <w:right w:val="none" w:sz="0" w:space="0" w:color="auto"/>
      </w:divBdr>
      <w:divsChild>
        <w:div w:id="409929258">
          <w:marLeft w:val="562"/>
          <w:marRight w:val="0"/>
          <w:marTop w:val="29"/>
          <w:marBottom w:val="29"/>
          <w:divBdr>
            <w:top w:val="none" w:sz="0" w:space="0" w:color="auto"/>
            <w:left w:val="none" w:sz="0" w:space="0" w:color="auto"/>
            <w:bottom w:val="none" w:sz="0" w:space="0" w:color="auto"/>
            <w:right w:val="none" w:sz="0" w:space="0" w:color="auto"/>
          </w:divBdr>
        </w:div>
      </w:divsChild>
    </w:div>
    <w:div w:id="409929264">
      <w:marLeft w:val="0"/>
      <w:marRight w:val="0"/>
      <w:marTop w:val="0"/>
      <w:marBottom w:val="0"/>
      <w:divBdr>
        <w:top w:val="none" w:sz="0" w:space="0" w:color="auto"/>
        <w:left w:val="none" w:sz="0" w:space="0" w:color="auto"/>
        <w:bottom w:val="none" w:sz="0" w:space="0" w:color="auto"/>
        <w:right w:val="none" w:sz="0" w:space="0" w:color="auto"/>
      </w:divBdr>
      <w:divsChild>
        <w:div w:id="409929267">
          <w:marLeft w:val="562"/>
          <w:marRight w:val="0"/>
          <w:marTop w:val="29"/>
          <w:marBottom w:val="29"/>
          <w:divBdr>
            <w:top w:val="none" w:sz="0" w:space="0" w:color="auto"/>
            <w:left w:val="none" w:sz="0" w:space="0" w:color="auto"/>
            <w:bottom w:val="none" w:sz="0" w:space="0" w:color="auto"/>
            <w:right w:val="none" w:sz="0" w:space="0" w:color="auto"/>
          </w:divBdr>
        </w:div>
      </w:divsChild>
    </w:div>
    <w:div w:id="409929265">
      <w:marLeft w:val="0"/>
      <w:marRight w:val="0"/>
      <w:marTop w:val="0"/>
      <w:marBottom w:val="0"/>
      <w:divBdr>
        <w:top w:val="none" w:sz="0" w:space="0" w:color="auto"/>
        <w:left w:val="none" w:sz="0" w:space="0" w:color="auto"/>
        <w:bottom w:val="none" w:sz="0" w:space="0" w:color="auto"/>
        <w:right w:val="none" w:sz="0" w:space="0" w:color="auto"/>
      </w:divBdr>
    </w:div>
    <w:div w:id="409929268">
      <w:marLeft w:val="0"/>
      <w:marRight w:val="0"/>
      <w:marTop w:val="0"/>
      <w:marBottom w:val="0"/>
      <w:divBdr>
        <w:top w:val="none" w:sz="0" w:space="0" w:color="auto"/>
        <w:left w:val="none" w:sz="0" w:space="0" w:color="auto"/>
        <w:bottom w:val="none" w:sz="0" w:space="0" w:color="auto"/>
        <w:right w:val="none" w:sz="0" w:space="0" w:color="auto"/>
      </w:divBdr>
      <w:divsChild>
        <w:div w:id="409929257">
          <w:marLeft w:val="0"/>
          <w:marRight w:val="0"/>
          <w:marTop w:val="0"/>
          <w:marBottom w:val="0"/>
          <w:divBdr>
            <w:top w:val="none" w:sz="0" w:space="0" w:color="auto"/>
            <w:left w:val="none" w:sz="0" w:space="0" w:color="auto"/>
            <w:bottom w:val="none" w:sz="0" w:space="0" w:color="auto"/>
            <w:right w:val="none" w:sz="0" w:space="0" w:color="auto"/>
          </w:divBdr>
        </w:div>
      </w:divsChild>
    </w:div>
    <w:div w:id="409929269">
      <w:marLeft w:val="0"/>
      <w:marRight w:val="0"/>
      <w:marTop w:val="0"/>
      <w:marBottom w:val="0"/>
      <w:divBdr>
        <w:top w:val="none" w:sz="0" w:space="0" w:color="auto"/>
        <w:left w:val="none" w:sz="0" w:space="0" w:color="auto"/>
        <w:bottom w:val="none" w:sz="0" w:space="0" w:color="auto"/>
        <w:right w:val="none" w:sz="0" w:space="0" w:color="auto"/>
      </w:divBdr>
      <w:divsChild>
        <w:div w:id="409929266">
          <w:marLeft w:val="0"/>
          <w:marRight w:val="0"/>
          <w:marTop w:val="0"/>
          <w:marBottom w:val="0"/>
          <w:divBdr>
            <w:top w:val="none" w:sz="0" w:space="0" w:color="auto"/>
            <w:left w:val="none" w:sz="0" w:space="0" w:color="auto"/>
            <w:bottom w:val="none" w:sz="0" w:space="0" w:color="auto"/>
            <w:right w:val="none" w:sz="0" w:space="0" w:color="auto"/>
          </w:divBdr>
        </w:div>
      </w:divsChild>
    </w:div>
    <w:div w:id="409929273">
      <w:marLeft w:val="0"/>
      <w:marRight w:val="0"/>
      <w:marTop w:val="0"/>
      <w:marBottom w:val="0"/>
      <w:divBdr>
        <w:top w:val="none" w:sz="0" w:space="0" w:color="auto"/>
        <w:left w:val="none" w:sz="0" w:space="0" w:color="auto"/>
        <w:bottom w:val="none" w:sz="0" w:space="0" w:color="auto"/>
        <w:right w:val="none" w:sz="0" w:space="0" w:color="auto"/>
      </w:divBdr>
      <w:divsChild>
        <w:div w:id="409929262">
          <w:marLeft w:val="806"/>
          <w:marRight w:val="0"/>
          <w:marTop w:val="38"/>
          <w:marBottom w:val="38"/>
          <w:divBdr>
            <w:top w:val="none" w:sz="0" w:space="0" w:color="auto"/>
            <w:left w:val="none" w:sz="0" w:space="0" w:color="auto"/>
            <w:bottom w:val="none" w:sz="0" w:space="0" w:color="auto"/>
            <w:right w:val="none" w:sz="0" w:space="0" w:color="auto"/>
          </w:divBdr>
        </w:div>
        <w:div w:id="409929270">
          <w:marLeft w:val="806"/>
          <w:marRight w:val="0"/>
          <w:marTop w:val="38"/>
          <w:marBottom w:val="38"/>
          <w:divBdr>
            <w:top w:val="none" w:sz="0" w:space="0" w:color="auto"/>
            <w:left w:val="none" w:sz="0" w:space="0" w:color="auto"/>
            <w:bottom w:val="none" w:sz="0" w:space="0" w:color="auto"/>
            <w:right w:val="none" w:sz="0" w:space="0" w:color="auto"/>
          </w:divBdr>
        </w:div>
        <w:div w:id="409929272">
          <w:marLeft w:val="562"/>
          <w:marRight w:val="0"/>
          <w:marTop w:val="38"/>
          <w:marBottom w:val="38"/>
          <w:divBdr>
            <w:top w:val="none" w:sz="0" w:space="0" w:color="auto"/>
            <w:left w:val="none" w:sz="0" w:space="0" w:color="auto"/>
            <w:bottom w:val="none" w:sz="0" w:space="0" w:color="auto"/>
            <w:right w:val="none" w:sz="0" w:space="0" w:color="auto"/>
          </w:divBdr>
        </w:div>
      </w:divsChild>
    </w:div>
    <w:div w:id="409929274">
      <w:marLeft w:val="0"/>
      <w:marRight w:val="0"/>
      <w:marTop w:val="0"/>
      <w:marBottom w:val="0"/>
      <w:divBdr>
        <w:top w:val="none" w:sz="0" w:space="0" w:color="auto"/>
        <w:left w:val="none" w:sz="0" w:space="0" w:color="auto"/>
        <w:bottom w:val="none" w:sz="0" w:space="0" w:color="auto"/>
        <w:right w:val="none" w:sz="0" w:space="0" w:color="auto"/>
      </w:divBdr>
      <w:divsChild>
        <w:div w:id="409929261">
          <w:marLeft w:val="0"/>
          <w:marRight w:val="0"/>
          <w:marTop w:val="0"/>
          <w:marBottom w:val="0"/>
          <w:divBdr>
            <w:top w:val="none" w:sz="0" w:space="0" w:color="auto"/>
            <w:left w:val="none" w:sz="0" w:space="0" w:color="auto"/>
            <w:bottom w:val="none" w:sz="0" w:space="0" w:color="auto"/>
            <w:right w:val="none" w:sz="0" w:space="0" w:color="auto"/>
          </w:divBdr>
        </w:div>
      </w:divsChild>
    </w:div>
    <w:div w:id="409929275">
      <w:marLeft w:val="0"/>
      <w:marRight w:val="0"/>
      <w:marTop w:val="0"/>
      <w:marBottom w:val="0"/>
      <w:divBdr>
        <w:top w:val="none" w:sz="0" w:space="0" w:color="auto"/>
        <w:left w:val="none" w:sz="0" w:space="0" w:color="auto"/>
        <w:bottom w:val="none" w:sz="0" w:space="0" w:color="auto"/>
        <w:right w:val="none" w:sz="0" w:space="0" w:color="auto"/>
      </w:divBdr>
      <w:divsChild>
        <w:div w:id="409929271">
          <w:marLeft w:val="0"/>
          <w:marRight w:val="0"/>
          <w:marTop w:val="0"/>
          <w:marBottom w:val="0"/>
          <w:divBdr>
            <w:top w:val="none" w:sz="0" w:space="0" w:color="auto"/>
            <w:left w:val="none" w:sz="0" w:space="0" w:color="auto"/>
            <w:bottom w:val="none" w:sz="0" w:space="0" w:color="auto"/>
            <w:right w:val="none" w:sz="0" w:space="0" w:color="auto"/>
          </w:divBdr>
        </w:div>
      </w:divsChild>
    </w:div>
    <w:div w:id="409929277">
      <w:marLeft w:val="0"/>
      <w:marRight w:val="0"/>
      <w:marTop w:val="0"/>
      <w:marBottom w:val="0"/>
      <w:divBdr>
        <w:top w:val="none" w:sz="0" w:space="0" w:color="auto"/>
        <w:left w:val="none" w:sz="0" w:space="0" w:color="auto"/>
        <w:bottom w:val="none" w:sz="0" w:space="0" w:color="auto"/>
        <w:right w:val="none" w:sz="0" w:space="0" w:color="auto"/>
      </w:divBdr>
      <w:divsChild>
        <w:div w:id="409929280">
          <w:marLeft w:val="0"/>
          <w:marRight w:val="0"/>
          <w:marTop w:val="0"/>
          <w:marBottom w:val="0"/>
          <w:divBdr>
            <w:top w:val="none" w:sz="0" w:space="0" w:color="auto"/>
            <w:left w:val="none" w:sz="0" w:space="0" w:color="auto"/>
            <w:bottom w:val="none" w:sz="0" w:space="0" w:color="auto"/>
            <w:right w:val="none" w:sz="0" w:space="0" w:color="auto"/>
          </w:divBdr>
          <w:divsChild>
            <w:div w:id="4099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9278">
      <w:marLeft w:val="0"/>
      <w:marRight w:val="0"/>
      <w:marTop w:val="0"/>
      <w:marBottom w:val="0"/>
      <w:divBdr>
        <w:top w:val="none" w:sz="0" w:space="0" w:color="auto"/>
        <w:left w:val="none" w:sz="0" w:space="0" w:color="auto"/>
        <w:bottom w:val="none" w:sz="0" w:space="0" w:color="auto"/>
        <w:right w:val="none" w:sz="0" w:space="0" w:color="auto"/>
      </w:divBdr>
    </w:div>
    <w:div w:id="409929279">
      <w:marLeft w:val="0"/>
      <w:marRight w:val="0"/>
      <w:marTop w:val="0"/>
      <w:marBottom w:val="0"/>
      <w:divBdr>
        <w:top w:val="none" w:sz="0" w:space="0" w:color="auto"/>
        <w:left w:val="none" w:sz="0" w:space="0" w:color="auto"/>
        <w:bottom w:val="none" w:sz="0" w:space="0" w:color="auto"/>
        <w:right w:val="none" w:sz="0" w:space="0" w:color="auto"/>
      </w:divBdr>
    </w:div>
    <w:div w:id="409929281">
      <w:marLeft w:val="0"/>
      <w:marRight w:val="0"/>
      <w:marTop w:val="0"/>
      <w:marBottom w:val="0"/>
      <w:divBdr>
        <w:top w:val="none" w:sz="0" w:space="0" w:color="auto"/>
        <w:left w:val="none" w:sz="0" w:space="0" w:color="auto"/>
        <w:bottom w:val="none" w:sz="0" w:space="0" w:color="auto"/>
        <w:right w:val="none" w:sz="0" w:space="0" w:color="auto"/>
      </w:divBdr>
    </w:div>
    <w:div w:id="409929282">
      <w:marLeft w:val="0"/>
      <w:marRight w:val="0"/>
      <w:marTop w:val="0"/>
      <w:marBottom w:val="0"/>
      <w:divBdr>
        <w:top w:val="none" w:sz="0" w:space="0" w:color="auto"/>
        <w:left w:val="none" w:sz="0" w:space="0" w:color="auto"/>
        <w:bottom w:val="none" w:sz="0" w:space="0" w:color="auto"/>
        <w:right w:val="none" w:sz="0" w:space="0" w:color="auto"/>
      </w:divBdr>
    </w:div>
    <w:div w:id="409929283">
      <w:marLeft w:val="0"/>
      <w:marRight w:val="0"/>
      <w:marTop w:val="0"/>
      <w:marBottom w:val="0"/>
      <w:divBdr>
        <w:top w:val="none" w:sz="0" w:space="0" w:color="auto"/>
        <w:left w:val="none" w:sz="0" w:space="0" w:color="auto"/>
        <w:bottom w:val="none" w:sz="0" w:space="0" w:color="auto"/>
        <w:right w:val="none" w:sz="0" w:space="0" w:color="auto"/>
      </w:divBdr>
      <w:divsChild>
        <w:div w:id="40992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ranis@helpe.g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vtsaitas@helpe.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stanitsas@helpe.g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regoriou.CENTRAL-DOMAIN\Application%20Data\Microsoft\Templates\H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HEP.dot</Template>
  <TotalTime>5</TotalTime>
  <Pages>5</Pages>
  <Words>1592</Words>
  <Characters>8597</Characters>
  <Application>Microsoft Office Outlook</Application>
  <DocSecurity>0</DocSecurity>
  <Lines>0</Lines>
  <Paragraphs>0</Paragraphs>
  <ScaleCrop>false</ScaleCrop>
  <Company>HELPE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GiGi</dc:creator>
  <cp:keywords/>
  <dc:description/>
  <cp:lastModifiedBy>astranis</cp:lastModifiedBy>
  <cp:revision>2</cp:revision>
  <cp:lastPrinted>2015-02-26T11:13:00Z</cp:lastPrinted>
  <dcterms:created xsi:type="dcterms:W3CDTF">2015-02-26T15:43:00Z</dcterms:created>
  <dcterms:modified xsi:type="dcterms:W3CDTF">2015-02-26T15:43:00Z</dcterms:modified>
</cp:coreProperties>
</file>