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BCE" w:rsidRDefault="00042BCE">
      <w:pPr>
        <w:rPr>
          <w:lang w:val="en-US"/>
        </w:rPr>
      </w:pPr>
      <w:bookmarkStart w:id="0" w:name="_GoBack"/>
      <w:bookmarkEnd w:id="0"/>
      <w:r w:rsidRPr="008D313B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2FBEDAC2" wp14:editId="47DB03CA">
            <wp:simplePos x="0" y="0"/>
            <wp:positionH relativeFrom="column">
              <wp:posOffset>1640205</wp:posOffset>
            </wp:positionH>
            <wp:positionV relativeFrom="paragraph">
              <wp:posOffset>-765175</wp:posOffset>
            </wp:positionV>
            <wp:extent cx="1714500" cy="746760"/>
            <wp:effectExtent l="0" t="0" r="0" b="0"/>
            <wp:wrapTight wrapText="bothSides">
              <wp:wrapPolygon edited="0">
                <wp:start x="11760" y="2755"/>
                <wp:lineTo x="4320" y="6061"/>
                <wp:lineTo x="2880" y="7714"/>
                <wp:lineTo x="2400" y="14327"/>
                <wp:lineTo x="2640" y="17082"/>
                <wp:lineTo x="11280" y="17082"/>
                <wp:lineTo x="21360" y="15429"/>
                <wp:lineTo x="21360" y="13224"/>
                <wp:lineTo x="17040" y="12673"/>
                <wp:lineTo x="17520" y="8265"/>
                <wp:lineTo x="16560" y="5510"/>
                <wp:lineTo x="13680" y="2755"/>
                <wp:lineTo x="11760" y="2755"/>
              </wp:wrapPolygon>
            </wp:wrapTight>
            <wp:docPr id="2" name="Picture 2" descr="INTRALOT_LOGO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RALOT_LOGO_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2BCE" w:rsidRDefault="00042BCE">
      <w:pPr>
        <w:rPr>
          <w:lang w:val="en-US"/>
        </w:rPr>
      </w:pPr>
    </w:p>
    <w:p w:rsidR="00042BCE" w:rsidRPr="00734633" w:rsidRDefault="00042BCE" w:rsidP="00042BCE">
      <w:pPr>
        <w:jc w:val="center"/>
        <w:rPr>
          <w:rFonts w:ascii="Book Antiqua" w:hAnsi="Book Antiqua"/>
        </w:rPr>
      </w:pPr>
      <w:r w:rsidRPr="00245C5A">
        <w:t xml:space="preserve">                                                                                                                            </w:t>
      </w:r>
      <w:r w:rsidR="00FD0E3C">
        <w:rPr>
          <w:lang w:val="en-US"/>
        </w:rPr>
        <w:t>13</w:t>
      </w:r>
      <w:r w:rsidRPr="00734633">
        <w:rPr>
          <w:rFonts w:ascii="Book Antiqua" w:hAnsi="Book Antiqua"/>
        </w:rPr>
        <w:t>/</w:t>
      </w:r>
      <w:r w:rsidR="000B56AB" w:rsidRPr="00245C5A">
        <w:rPr>
          <w:rFonts w:ascii="Book Antiqua" w:hAnsi="Book Antiqua"/>
        </w:rPr>
        <w:t>7</w:t>
      </w:r>
      <w:r w:rsidRPr="00245C5A">
        <w:rPr>
          <w:rFonts w:ascii="Book Antiqua" w:hAnsi="Book Antiqua"/>
        </w:rPr>
        <w:t>/</w:t>
      </w:r>
      <w:r w:rsidRPr="00734633">
        <w:rPr>
          <w:rFonts w:ascii="Book Antiqua" w:hAnsi="Book Antiqua"/>
        </w:rPr>
        <w:t>2015</w:t>
      </w:r>
    </w:p>
    <w:p w:rsidR="002929C4" w:rsidRPr="00245C5A" w:rsidRDefault="002929C4"/>
    <w:p w:rsidR="00042BCE" w:rsidRPr="00042BCE" w:rsidRDefault="00042BCE" w:rsidP="00042BCE">
      <w:pPr>
        <w:jc w:val="center"/>
        <w:rPr>
          <w:b/>
          <w:u w:val="single"/>
        </w:rPr>
      </w:pPr>
      <w:r w:rsidRPr="00042BCE">
        <w:rPr>
          <w:b/>
          <w:u w:val="single"/>
        </w:rPr>
        <w:t xml:space="preserve">Ανακοίνωση </w:t>
      </w:r>
    </w:p>
    <w:p w:rsidR="00B31FBE" w:rsidRDefault="001052BA" w:rsidP="00B31FBE">
      <w:pPr>
        <w:jc w:val="both"/>
      </w:pPr>
      <w:r w:rsidRPr="001052BA">
        <w:t>Σε συνέχεια της από 19.6.2015 απόφασης της έκτακτης ΓΣ της εταιρείας με την οποία (θέμα 2ο) εγκρίθηκε σύμφωνα με το άρθρο 23α παρ. 2 του ΚΝ 2190/20 η τροποποίηση και κωδικοποίηση σε ενιαίο κείμενο του συμφωνητικού μετόχων  (</w:t>
      </w:r>
      <w:proofErr w:type="spellStart"/>
      <w:r w:rsidRPr="001052BA">
        <w:t>Shareholders</w:t>
      </w:r>
      <w:proofErr w:type="spellEnd"/>
      <w:r w:rsidRPr="001052BA">
        <w:t xml:space="preserve"> </w:t>
      </w:r>
      <w:proofErr w:type="spellStart"/>
      <w:r w:rsidRPr="001052BA">
        <w:t>Agreement</w:t>
      </w:r>
      <w:proofErr w:type="spellEnd"/>
      <w:r w:rsidRPr="001052BA">
        <w:t xml:space="preserve">) που έχει υπογραφεί το 2001 μεταξύ των μετόχων της </w:t>
      </w:r>
      <w:proofErr w:type="spellStart"/>
      <w:r w:rsidRPr="001052BA">
        <w:t>Intralot</w:t>
      </w:r>
      <w:proofErr w:type="spellEnd"/>
      <w:r w:rsidRPr="001052BA">
        <w:t xml:space="preserve"> </w:t>
      </w:r>
      <w:proofErr w:type="spellStart"/>
      <w:r w:rsidRPr="001052BA">
        <w:t>Inc</w:t>
      </w:r>
      <w:proofErr w:type="spellEnd"/>
      <w:r w:rsidRPr="001052BA">
        <w:t xml:space="preserve"> που εδρεύει στην πόλη Ατλάντα της πολιτείας Georgia των Η.Π.Α., η εταιρεία ενημερώνει ότι ολοκληρώθηκε η διαδικασία υπογραφής του ως άνω συμφωνητικού. Το ως άνω συμφωνητικό προβλέπει μεταξύ άλλων τα ακόλουθα: αύξηση των μελών του Δ.Σ. της </w:t>
      </w:r>
      <w:proofErr w:type="spellStart"/>
      <w:r w:rsidRPr="001052BA">
        <w:t>Intralot</w:t>
      </w:r>
      <w:proofErr w:type="spellEnd"/>
      <w:r w:rsidRPr="001052BA">
        <w:t xml:space="preserve"> </w:t>
      </w:r>
      <w:proofErr w:type="spellStart"/>
      <w:r w:rsidRPr="001052BA">
        <w:t>Inc</w:t>
      </w:r>
      <w:proofErr w:type="spellEnd"/>
      <w:r w:rsidRPr="001052BA">
        <w:t xml:space="preserve">. από 3 σε 5, δικαίωμα των μετόχων μειοψηφίας να διορίζουν ένα μέλος έκαστος στο Δ.Σ. εφόσον διατηρούν κατ’ ελάχιστον 5% της </w:t>
      </w:r>
      <w:proofErr w:type="spellStart"/>
      <w:r w:rsidRPr="001052BA">
        <w:t>Intralot</w:t>
      </w:r>
      <w:proofErr w:type="spellEnd"/>
      <w:r w:rsidRPr="001052BA">
        <w:t xml:space="preserve"> </w:t>
      </w:r>
      <w:proofErr w:type="spellStart"/>
      <w:r w:rsidRPr="001052BA">
        <w:t>Inc</w:t>
      </w:r>
      <w:proofErr w:type="spellEnd"/>
      <w:r w:rsidRPr="001052BA">
        <w:t>., τίμημα σε περίπτωση εξαγοράς των μετοχών των μετόχων μειοψηφίας σε περίπτωση άσκησης των δικαιωμάτων προαίρεσης (</w:t>
      </w:r>
      <w:proofErr w:type="spellStart"/>
      <w:r w:rsidRPr="001052BA">
        <w:t>call</w:t>
      </w:r>
      <w:proofErr w:type="spellEnd"/>
      <w:r w:rsidRPr="001052BA">
        <w:t xml:space="preserve"> ή </w:t>
      </w:r>
      <w:proofErr w:type="spellStart"/>
      <w:r w:rsidRPr="001052BA">
        <w:t>put</w:t>
      </w:r>
      <w:proofErr w:type="spellEnd"/>
      <w:r w:rsidRPr="001052BA">
        <w:t xml:space="preserve"> </w:t>
      </w:r>
      <w:proofErr w:type="spellStart"/>
      <w:r w:rsidRPr="001052BA">
        <w:t>option</w:t>
      </w:r>
      <w:proofErr w:type="spellEnd"/>
      <w:r w:rsidRPr="001052BA">
        <w:t>) από θυγατρικής της εταιρείας με τίμημα που θα ανέρχεται σε 1 εκ USD για κάθε 1% μεταβιβαζόμενων μετοχών, όπως έχει κριθεί ως εύλογο δυνάμει σχετικής οικονομικής εκτιμήσεως (</w:t>
      </w:r>
      <w:proofErr w:type="spellStart"/>
      <w:r w:rsidRPr="001052BA">
        <w:t>fairness</w:t>
      </w:r>
      <w:proofErr w:type="spellEnd"/>
      <w:r w:rsidRPr="001052BA">
        <w:t xml:space="preserve"> </w:t>
      </w:r>
      <w:proofErr w:type="spellStart"/>
      <w:r w:rsidRPr="001052BA">
        <w:t>opinion</w:t>
      </w:r>
      <w:proofErr w:type="spellEnd"/>
      <w:r w:rsidRPr="001052BA">
        <w:t>) ανεξάρτητου ελεγκτικού οίκου, καθώς και δικαιώματα προτίμησης των υφισταμένων μετόχων και συνήθη δικαιώματα προαίρεσης (</w:t>
      </w:r>
      <w:proofErr w:type="spellStart"/>
      <w:r w:rsidRPr="001052BA">
        <w:t>drag</w:t>
      </w:r>
      <w:proofErr w:type="spellEnd"/>
      <w:r w:rsidRPr="001052BA">
        <w:t xml:space="preserve"> </w:t>
      </w:r>
      <w:proofErr w:type="spellStart"/>
      <w:r w:rsidRPr="001052BA">
        <w:t>along</w:t>
      </w:r>
      <w:proofErr w:type="spellEnd"/>
      <w:r w:rsidRPr="001052BA">
        <w:t xml:space="preserve"> &amp; </w:t>
      </w:r>
      <w:proofErr w:type="spellStart"/>
      <w:r w:rsidRPr="001052BA">
        <w:t>tag</w:t>
      </w:r>
      <w:proofErr w:type="spellEnd"/>
      <w:r w:rsidRPr="001052BA">
        <w:t xml:space="preserve"> </w:t>
      </w:r>
      <w:proofErr w:type="spellStart"/>
      <w:r w:rsidRPr="001052BA">
        <w:t>along</w:t>
      </w:r>
      <w:proofErr w:type="spellEnd"/>
      <w:r w:rsidRPr="001052BA">
        <w:t xml:space="preserve">, </w:t>
      </w:r>
      <w:proofErr w:type="spellStart"/>
      <w:r w:rsidRPr="001052BA">
        <w:t>call</w:t>
      </w:r>
      <w:proofErr w:type="spellEnd"/>
      <w:r w:rsidRPr="001052BA">
        <w:t xml:space="preserve"> &amp; </w:t>
      </w:r>
      <w:proofErr w:type="spellStart"/>
      <w:r w:rsidRPr="001052BA">
        <w:t>put</w:t>
      </w:r>
      <w:proofErr w:type="spellEnd"/>
      <w:r w:rsidRPr="001052BA">
        <w:t>) σε περίπτωση μεταβιβάσεων μετοχών.</w:t>
      </w:r>
    </w:p>
    <w:p w:rsidR="00042BCE" w:rsidRPr="00042BCE" w:rsidRDefault="00042BCE"/>
    <w:sectPr w:rsidR="00042BCE" w:rsidRPr="00042B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CE"/>
    <w:rsid w:val="00042BCE"/>
    <w:rsid w:val="000B56AB"/>
    <w:rsid w:val="001052BA"/>
    <w:rsid w:val="00245C5A"/>
    <w:rsid w:val="002929C4"/>
    <w:rsid w:val="00B24AB9"/>
    <w:rsid w:val="00B31FBE"/>
    <w:rsid w:val="00C818DF"/>
    <w:rsid w:val="00FD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Mandilas Antonis</dc:creator>
  <cp:lastModifiedBy>I.Tsaga</cp:lastModifiedBy>
  <cp:revision>2</cp:revision>
  <dcterms:created xsi:type="dcterms:W3CDTF">2015-07-13T16:16:00Z</dcterms:created>
  <dcterms:modified xsi:type="dcterms:W3CDTF">2015-07-13T16:16:00Z</dcterms:modified>
</cp:coreProperties>
</file>