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66" w:rsidRDefault="00AF3B8F" w:rsidP="0087336E">
      <w:pPr>
        <w:pStyle w:val="PRContact"/>
        <w:pBdr>
          <w:bottom w:val="single" w:sz="4" w:space="2" w:color="auto"/>
        </w:pBdr>
        <w:tabs>
          <w:tab w:val="left" w:pos="1701"/>
          <w:tab w:val="left" w:pos="4678"/>
        </w:tabs>
        <w:rPr>
          <w:rFonts w:ascii="Arial" w:hAnsi="Arial" w:cs="Arial"/>
          <w:b/>
          <w:color w:val="4F81BD"/>
          <w:sz w:val="40"/>
          <w:szCs w:val="40"/>
        </w:rPr>
      </w:pPr>
      <w:bookmarkStart w:id="0" w:name="_GoBack"/>
      <w:bookmarkEnd w:id="0"/>
      <w:r>
        <w:rPr>
          <w:noProof/>
          <w:lang w:val="el-GR" w:eastAsia="el-GR"/>
        </w:rPr>
        <w:drawing>
          <wp:inline distT="0" distB="0" distL="0" distR="0">
            <wp:extent cx="1428750" cy="1143000"/>
            <wp:effectExtent l="19050" t="0" r="0" b="0"/>
            <wp:docPr id="1" name="Εικόνα 1" descr="Περιγραφή: Περιγραφή: ote-together-whi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ote-together-white-en"/>
                    <pic:cNvPicPr>
                      <a:picLocks noChangeAspect="1" noChangeArrowheads="1"/>
                    </pic:cNvPicPr>
                  </pic:nvPicPr>
                  <pic:blipFill>
                    <a:blip r:embed="rId13" cstate="print"/>
                    <a:srcRect/>
                    <a:stretch>
                      <a:fillRect/>
                    </a:stretch>
                  </pic:blipFill>
                  <pic:spPr bwMode="auto">
                    <a:xfrm>
                      <a:off x="0" y="0"/>
                      <a:ext cx="1428750" cy="1143000"/>
                    </a:xfrm>
                    <a:prstGeom prst="rect">
                      <a:avLst/>
                    </a:prstGeom>
                    <a:noFill/>
                    <a:ln w="9525">
                      <a:noFill/>
                      <a:miter lim="800000"/>
                      <a:headEnd/>
                      <a:tailEnd/>
                    </a:ln>
                  </pic:spPr>
                </pic:pic>
              </a:graphicData>
            </a:graphic>
          </wp:inline>
        </w:drawing>
      </w:r>
    </w:p>
    <w:p w:rsidR="00615DFF" w:rsidRDefault="0087336E" w:rsidP="00771B95">
      <w:pPr>
        <w:pStyle w:val="PRContact"/>
        <w:pBdr>
          <w:bottom w:val="single" w:sz="4" w:space="2" w:color="auto"/>
        </w:pBdr>
        <w:tabs>
          <w:tab w:val="left" w:pos="1701"/>
          <w:tab w:val="left" w:pos="4678"/>
        </w:tabs>
        <w:jc w:val="right"/>
        <w:rPr>
          <w:rFonts w:ascii="Arial" w:hAnsi="Arial" w:cs="Arial"/>
          <w:b/>
          <w:color w:val="4F81BD"/>
          <w:sz w:val="32"/>
          <w:szCs w:val="32"/>
        </w:rPr>
      </w:pPr>
      <w:r>
        <w:rPr>
          <w:noProof/>
          <w:lang w:eastAsia="el-GR"/>
        </w:rPr>
        <w:tab/>
      </w:r>
      <w:r>
        <w:rPr>
          <w:noProof/>
          <w:lang w:eastAsia="el-GR"/>
        </w:rPr>
        <w:tab/>
      </w:r>
      <w:r>
        <w:rPr>
          <w:noProof/>
          <w:lang w:eastAsia="el-GR"/>
        </w:rPr>
        <w:tab/>
      </w:r>
      <w:r>
        <w:rPr>
          <w:noProof/>
          <w:lang w:eastAsia="el-GR"/>
        </w:rPr>
        <w:tab/>
      </w:r>
      <w:r>
        <w:rPr>
          <w:noProof/>
          <w:lang w:eastAsia="el-GR"/>
        </w:rPr>
        <w:tab/>
      </w:r>
      <w:r>
        <w:rPr>
          <w:noProof/>
          <w:lang w:eastAsia="el-GR"/>
        </w:rPr>
        <w:tab/>
      </w:r>
      <w:r>
        <w:rPr>
          <w:noProof/>
          <w:lang w:eastAsia="el-GR"/>
        </w:rPr>
        <w:tab/>
      </w:r>
      <w:r>
        <w:rPr>
          <w:noProof/>
          <w:lang w:eastAsia="el-GR"/>
        </w:rPr>
        <w:tab/>
      </w:r>
      <w:r w:rsidR="00871366" w:rsidRPr="00771B95">
        <w:rPr>
          <w:rFonts w:ascii="Arial" w:hAnsi="Arial" w:cs="Arial"/>
          <w:b/>
          <w:color w:val="4F81BD"/>
          <w:sz w:val="42"/>
        </w:rPr>
        <w:t>Αnnouncement</w:t>
      </w:r>
    </w:p>
    <w:p w:rsidR="00823151" w:rsidRPr="006662AB" w:rsidRDefault="00823151" w:rsidP="00823151">
      <w:pPr>
        <w:pStyle w:val="BodyText3"/>
        <w:jc w:val="left"/>
        <w:rPr>
          <w:color w:val="4F81BD"/>
          <w:szCs w:val="24"/>
        </w:rPr>
      </w:pPr>
    </w:p>
    <w:p w:rsidR="00771B95" w:rsidRPr="00771B95" w:rsidRDefault="00771B95" w:rsidP="00771B95">
      <w:pPr>
        <w:jc w:val="center"/>
        <w:rPr>
          <w:rFonts w:ascii="Arial" w:hAnsi="Arial" w:cs="Arial"/>
          <w:b/>
          <w:color w:val="4F81BD"/>
          <w:sz w:val="36"/>
          <w:szCs w:val="32"/>
        </w:rPr>
      </w:pPr>
      <w:r>
        <w:rPr>
          <w:rFonts w:ascii="Arial" w:hAnsi="Arial" w:cs="Arial"/>
          <w:b/>
          <w:color w:val="4F81BD"/>
          <w:sz w:val="36"/>
          <w:szCs w:val="32"/>
        </w:rPr>
        <w:t>63</w:t>
      </w:r>
      <w:r>
        <w:rPr>
          <w:rFonts w:ascii="Arial" w:hAnsi="Arial" w:cs="Arial"/>
          <w:b/>
          <w:color w:val="4F81BD"/>
          <w:sz w:val="36"/>
          <w:szCs w:val="32"/>
          <w:vertAlign w:val="superscript"/>
        </w:rPr>
        <w:t>RD</w:t>
      </w:r>
      <w:r w:rsidR="00F564E3" w:rsidRPr="00D72011">
        <w:rPr>
          <w:rFonts w:ascii="Arial" w:hAnsi="Arial" w:cs="Arial"/>
          <w:b/>
          <w:color w:val="4F81BD"/>
          <w:sz w:val="36"/>
          <w:szCs w:val="32"/>
          <w:vertAlign w:val="superscript"/>
        </w:rPr>
        <w:t xml:space="preserve"> </w:t>
      </w:r>
      <w:r w:rsidRPr="00771B95">
        <w:rPr>
          <w:rFonts w:ascii="Arial" w:hAnsi="Arial" w:cs="Arial"/>
          <w:b/>
          <w:color w:val="4F81BD"/>
          <w:sz w:val="36"/>
          <w:szCs w:val="32"/>
        </w:rPr>
        <w:t>ORDINARY GENERAL MEETING OF SHAREHOLDERS</w:t>
      </w:r>
    </w:p>
    <w:p w:rsidR="00771B95" w:rsidRDefault="00771B95" w:rsidP="00374DE1">
      <w:pPr>
        <w:jc w:val="both"/>
        <w:rPr>
          <w:rFonts w:ascii="Tahoma" w:hAnsi="Tahoma" w:cs="Tahoma"/>
          <w:b/>
          <w:color w:val="000000"/>
          <w:sz w:val="22"/>
          <w:szCs w:val="22"/>
        </w:rPr>
      </w:pPr>
    </w:p>
    <w:p w:rsidR="00BC2160" w:rsidRPr="00DF0C92" w:rsidRDefault="007D7F63" w:rsidP="00374DE1">
      <w:pPr>
        <w:jc w:val="both"/>
        <w:rPr>
          <w:rFonts w:ascii="Tahoma" w:hAnsi="Tahoma" w:cs="Tahoma"/>
          <w:color w:val="000000"/>
          <w:sz w:val="22"/>
          <w:szCs w:val="22"/>
          <w:lang w:val="en-GB"/>
        </w:rPr>
      </w:pPr>
      <w:r w:rsidRPr="00DF0C92">
        <w:rPr>
          <w:rFonts w:ascii="Tahoma" w:hAnsi="Tahoma" w:cs="Tahoma"/>
          <w:b/>
          <w:color w:val="000000"/>
          <w:sz w:val="22"/>
          <w:szCs w:val="22"/>
        </w:rPr>
        <w:t xml:space="preserve">ATHENS, Greece – </w:t>
      </w:r>
      <w:r w:rsidR="00771B95" w:rsidRPr="00DF0C92">
        <w:rPr>
          <w:rFonts w:ascii="Tahoma" w:hAnsi="Tahoma" w:cs="Tahoma"/>
          <w:b/>
          <w:color w:val="000000"/>
          <w:sz w:val="22"/>
          <w:szCs w:val="22"/>
        </w:rPr>
        <w:t>June 1</w:t>
      </w:r>
      <w:r w:rsidRPr="00DF0C92">
        <w:rPr>
          <w:rFonts w:ascii="Tahoma" w:hAnsi="Tahoma" w:cs="Tahoma"/>
          <w:b/>
          <w:color w:val="000000"/>
          <w:sz w:val="22"/>
          <w:szCs w:val="22"/>
        </w:rPr>
        <w:t>2</w:t>
      </w:r>
      <w:r w:rsidR="00453085" w:rsidRPr="00DF0C92">
        <w:rPr>
          <w:rFonts w:ascii="Tahoma" w:hAnsi="Tahoma" w:cs="Tahoma"/>
          <w:b/>
          <w:color w:val="000000"/>
          <w:sz w:val="22"/>
          <w:szCs w:val="22"/>
        </w:rPr>
        <w:t>, 201</w:t>
      </w:r>
      <w:r w:rsidR="00771B95" w:rsidRPr="00DF0C92">
        <w:rPr>
          <w:rFonts w:ascii="Tahoma" w:hAnsi="Tahoma" w:cs="Tahoma"/>
          <w:b/>
          <w:color w:val="000000"/>
          <w:sz w:val="22"/>
          <w:szCs w:val="22"/>
        </w:rPr>
        <w:t>5</w:t>
      </w:r>
      <w:r w:rsidR="00453085" w:rsidRPr="00DF0C92">
        <w:rPr>
          <w:rFonts w:ascii="Tahoma" w:hAnsi="Tahoma" w:cs="Tahoma"/>
          <w:color w:val="000000"/>
          <w:sz w:val="22"/>
          <w:szCs w:val="22"/>
        </w:rPr>
        <w:t xml:space="preserve"> –</w:t>
      </w:r>
      <w:r w:rsidR="00CF7D2D" w:rsidRPr="00CF7D2D">
        <w:rPr>
          <w:rFonts w:ascii="Tahoma" w:hAnsi="Tahoma" w:cs="Tahoma"/>
          <w:color w:val="000000"/>
          <w:sz w:val="22"/>
          <w:szCs w:val="22"/>
        </w:rPr>
        <w:t xml:space="preserve"> </w:t>
      </w:r>
      <w:r w:rsidR="00453085" w:rsidRPr="00DF0C92">
        <w:rPr>
          <w:rFonts w:ascii="Tahoma" w:hAnsi="Tahoma" w:cs="Tahoma"/>
          <w:color w:val="000000"/>
          <w:sz w:val="22"/>
          <w:szCs w:val="22"/>
        </w:rPr>
        <w:t xml:space="preserve">Hellenic Telecommunications Organization SA </w:t>
      </w:r>
      <w:r w:rsidR="00C67409" w:rsidRPr="007C5550">
        <w:rPr>
          <w:rFonts w:ascii="Tahoma" w:hAnsi="Tahoma" w:cs="Tahoma"/>
          <w:color w:val="000000"/>
          <w:sz w:val="22"/>
          <w:szCs w:val="22"/>
        </w:rPr>
        <w:t>(</w:t>
      </w:r>
      <w:r w:rsidR="006B3D6C">
        <w:rPr>
          <w:rFonts w:ascii="Tahoma" w:hAnsi="Tahoma" w:cs="Tahoma"/>
          <w:color w:val="000000"/>
          <w:sz w:val="22"/>
          <w:szCs w:val="22"/>
        </w:rPr>
        <w:t xml:space="preserve">ASE: HTO, </w:t>
      </w:r>
      <w:r w:rsidR="006B3D6C">
        <w:rPr>
          <w:rFonts w:ascii="Tahoma" w:hAnsi="Tahoma" w:cs="Tahoma"/>
          <w:bCs/>
          <w:color w:val="000000"/>
          <w:sz w:val="22"/>
          <w:szCs w:val="22"/>
          <w:lang w:val="en-GB" w:eastAsia="el-GR"/>
        </w:rPr>
        <w:t>OTC MARKET: HLTOY</w:t>
      </w:r>
      <w:r w:rsidR="006B3D6C">
        <w:rPr>
          <w:rFonts w:ascii="Tahoma" w:hAnsi="Tahoma" w:cs="Tahoma"/>
          <w:color w:val="000000"/>
          <w:sz w:val="22"/>
          <w:szCs w:val="22"/>
        </w:rPr>
        <w:t>), the Greek</w:t>
      </w:r>
      <w:r w:rsidR="00453085" w:rsidRPr="00DF0C92">
        <w:rPr>
          <w:rFonts w:ascii="Tahoma" w:hAnsi="Tahoma" w:cs="Tahoma"/>
          <w:color w:val="000000"/>
          <w:sz w:val="22"/>
          <w:szCs w:val="22"/>
        </w:rPr>
        <w:t xml:space="preserve"> full-service telecommunications provider</w:t>
      </w:r>
      <w:r w:rsidR="00DD7F04" w:rsidRPr="00DF0C92">
        <w:rPr>
          <w:rFonts w:ascii="Tahoma" w:hAnsi="Tahoma" w:cs="Tahoma"/>
          <w:color w:val="000000"/>
          <w:sz w:val="22"/>
          <w:szCs w:val="22"/>
        </w:rPr>
        <w:t xml:space="preserve"> (</w:t>
      </w:r>
      <w:r w:rsidR="00CF7D2D">
        <w:rPr>
          <w:rFonts w:ascii="Tahoma" w:hAnsi="Tahoma" w:cs="Tahoma"/>
          <w:color w:val="000000"/>
          <w:sz w:val="22"/>
          <w:szCs w:val="22"/>
        </w:rPr>
        <w:t xml:space="preserve">hereinafter </w:t>
      </w:r>
      <w:r w:rsidR="00DD7F04" w:rsidRPr="00DF0C92">
        <w:rPr>
          <w:rFonts w:ascii="Tahoma" w:hAnsi="Tahoma" w:cs="Tahoma"/>
          <w:color w:val="000000"/>
          <w:sz w:val="22"/>
          <w:szCs w:val="22"/>
        </w:rPr>
        <w:t>the Company)</w:t>
      </w:r>
      <w:r w:rsidR="00453085" w:rsidRPr="00DF0C92">
        <w:rPr>
          <w:rFonts w:ascii="Tahoma" w:hAnsi="Tahoma" w:cs="Tahoma"/>
          <w:color w:val="000000"/>
          <w:sz w:val="22"/>
          <w:szCs w:val="22"/>
        </w:rPr>
        <w:t xml:space="preserve">, today held </w:t>
      </w:r>
      <w:r w:rsidR="00DD7F04" w:rsidRPr="00DF0C92">
        <w:rPr>
          <w:rFonts w:ascii="Tahoma" w:hAnsi="Tahoma" w:cs="Tahoma"/>
          <w:color w:val="000000"/>
          <w:sz w:val="22"/>
          <w:szCs w:val="22"/>
        </w:rPr>
        <w:t xml:space="preserve"> </w:t>
      </w:r>
      <w:r w:rsidR="00771B95" w:rsidRPr="00DF0C92">
        <w:rPr>
          <w:rFonts w:ascii="Tahoma" w:hAnsi="Tahoma" w:cs="Tahoma"/>
          <w:color w:val="000000"/>
          <w:sz w:val="22"/>
          <w:szCs w:val="22"/>
        </w:rPr>
        <w:t>its 63</w:t>
      </w:r>
      <w:r w:rsidR="00771B95" w:rsidRPr="00DF0C92">
        <w:rPr>
          <w:rFonts w:ascii="Tahoma" w:hAnsi="Tahoma" w:cs="Tahoma"/>
          <w:color w:val="000000"/>
          <w:sz w:val="22"/>
          <w:szCs w:val="22"/>
          <w:vertAlign w:val="superscript"/>
        </w:rPr>
        <w:t>rd</w:t>
      </w:r>
      <w:r w:rsidR="00771B95" w:rsidRPr="00DF0C92">
        <w:rPr>
          <w:rFonts w:ascii="Tahoma" w:hAnsi="Tahoma" w:cs="Tahoma"/>
          <w:color w:val="000000"/>
          <w:sz w:val="22"/>
          <w:szCs w:val="22"/>
        </w:rPr>
        <w:t xml:space="preserve"> Ordinary General Meeting of Shareholders</w:t>
      </w:r>
      <w:r w:rsidR="00771B95" w:rsidRPr="00DF0C92">
        <w:rPr>
          <w:rFonts w:ascii="Tahoma" w:hAnsi="Tahoma" w:cs="Tahoma"/>
          <w:color w:val="000000"/>
          <w:sz w:val="22"/>
          <w:szCs w:val="22"/>
          <w:lang w:val="en-GB"/>
        </w:rPr>
        <w:t xml:space="preserve">, during which </w:t>
      </w:r>
      <w:r w:rsidR="00386E28">
        <w:rPr>
          <w:rFonts w:ascii="Tahoma" w:hAnsi="Tahoma" w:cs="Tahoma"/>
          <w:color w:val="000000"/>
          <w:sz w:val="22"/>
          <w:szCs w:val="22"/>
          <w:lang w:val="en-GB"/>
        </w:rPr>
        <w:t>73</w:t>
      </w:r>
      <w:r w:rsidR="00771B95" w:rsidRPr="00DF0C92">
        <w:rPr>
          <w:rFonts w:ascii="Tahoma" w:hAnsi="Tahoma" w:cs="Tahoma"/>
          <w:color w:val="000000"/>
          <w:sz w:val="22"/>
          <w:szCs w:val="22"/>
          <w:lang w:val="en-GB"/>
        </w:rPr>
        <w:t>.</w:t>
      </w:r>
      <w:r w:rsidR="00386E28">
        <w:rPr>
          <w:rFonts w:ascii="Tahoma" w:hAnsi="Tahoma" w:cs="Tahoma"/>
          <w:color w:val="000000"/>
          <w:sz w:val="22"/>
          <w:szCs w:val="22"/>
          <w:lang w:val="en-GB"/>
        </w:rPr>
        <w:t>32</w:t>
      </w:r>
      <w:r w:rsidR="00771B95" w:rsidRPr="00DF0C92">
        <w:rPr>
          <w:rFonts w:ascii="Tahoma" w:hAnsi="Tahoma" w:cs="Tahoma"/>
          <w:color w:val="000000"/>
          <w:sz w:val="22"/>
          <w:szCs w:val="22"/>
          <w:lang w:val="en-GB"/>
        </w:rPr>
        <w:t xml:space="preserve">% of its </w:t>
      </w:r>
      <w:r w:rsidR="00771B95" w:rsidRPr="00DF0C92">
        <w:rPr>
          <w:rFonts w:ascii="Tahoma" w:hAnsi="Tahoma" w:cs="Tahoma"/>
          <w:color w:val="000000"/>
          <w:sz w:val="22"/>
          <w:szCs w:val="22"/>
        </w:rPr>
        <w:t>S</w:t>
      </w:r>
      <w:r w:rsidR="00771B95" w:rsidRPr="00DF0C92">
        <w:rPr>
          <w:rFonts w:ascii="Tahoma" w:hAnsi="Tahoma" w:cs="Tahoma"/>
          <w:color w:val="000000"/>
          <w:sz w:val="22"/>
          <w:szCs w:val="22"/>
          <w:lang w:val="en-GB"/>
        </w:rPr>
        <w:t>hareholders were present.</w:t>
      </w:r>
    </w:p>
    <w:p w:rsidR="00F86FF3" w:rsidRPr="00DF0C92" w:rsidRDefault="00F86FF3" w:rsidP="00374DE1">
      <w:pPr>
        <w:jc w:val="both"/>
        <w:rPr>
          <w:rFonts w:ascii="Tahoma" w:hAnsi="Tahoma" w:cs="Tahoma"/>
          <w:color w:val="000000"/>
          <w:sz w:val="22"/>
          <w:szCs w:val="22"/>
          <w:lang w:val="en-GB"/>
        </w:rPr>
      </w:pPr>
    </w:p>
    <w:p w:rsidR="00771B95" w:rsidRPr="00DF0C92" w:rsidRDefault="00771B95" w:rsidP="00771B95">
      <w:pPr>
        <w:tabs>
          <w:tab w:val="left" w:pos="851"/>
        </w:tabs>
        <w:ind w:right="45"/>
        <w:jc w:val="both"/>
        <w:rPr>
          <w:rFonts w:ascii="Tahoma" w:hAnsi="Tahoma" w:cs="Tahoma"/>
          <w:sz w:val="22"/>
          <w:szCs w:val="22"/>
        </w:rPr>
      </w:pPr>
      <w:r w:rsidRPr="00DF0C92">
        <w:rPr>
          <w:rFonts w:ascii="Tahoma" w:hAnsi="Tahoma" w:cs="Tahoma"/>
          <w:color w:val="000000"/>
          <w:sz w:val="22"/>
          <w:szCs w:val="22"/>
        </w:rPr>
        <w:t>During the meeting,</w:t>
      </w:r>
      <w:r w:rsidR="009D5D32">
        <w:rPr>
          <w:rFonts w:ascii="Tahoma" w:hAnsi="Tahoma" w:cs="Tahoma"/>
          <w:color w:val="000000"/>
          <w:sz w:val="22"/>
          <w:szCs w:val="22"/>
        </w:rPr>
        <w:t xml:space="preserve"> the agenda items were discussed and</w:t>
      </w:r>
      <w:r w:rsidRPr="00DF0C92">
        <w:rPr>
          <w:rFonts w:ascii="Tahoma" w:hAnsi="Tahoma" w:cs="Tahoma"/>
          <w:color w:val="000000"/>
          <w:sz w:val="22"/>
          <w:szCs w:val="22"/>
        </w:rPr>
        <w:t xml:space="preserve"> the majority of Shareholders approved</w:t>
      </w:r>
      <w:r w:rsidRPr="00DF0C92">
        <w:rPr>
          <w:rFonts w:ascii="Tahoma" w:hAnsi="Tahoma" w:cs="Tahoma"/>
          <w:sz w:val="22"/>
          <w:szCs w:val="22"/>
        </w:rPr>
        <w:t xml:space="preserve"> the Annual Financial Statements of OTE S.A. (both </w:t>
      </w:r>
      <w:r w:rsidR="00F564E3">
        <w:rPr>
          <w:rFonts w:ascii="Tahoma" w:hAnsi="Tahoma" w:cs="Tahoma"/>
          <w:sz w:val="22"/>
          <w:szCs w:val="22"/>
        </w:rPr>
        <w:t>S</w:t>
      </w:r>
      <w:r w:rsidR="00034742">
        <w:rPr>
          <w:rFonts w:ascii="Tahoma" w:hAnsi="Tahoma" w:cs="Tahoma"/>
          <w:sz w:val="22"/>
          <w:szCs w:val="22"/>
        </w:rPr>
        <w:t xml:space="preserve">tand </w:t>
      </w:r>
      <w:r w:rsidR="00CF7D2D">
        <w:rPr>
          <w:rFonts w:ascii="Tahoma" w:hAnsi="Tahoma" w:cs="Tahoma"/>
          <w:sz w:val="22"/>
          <w:szCs w:val="22"/>
        </w:rPr>
        <w:t>–</w:t>
      </w:r>
      <w:r w:rsidR="00034742">
        <w:rPr>
          <w:rFonts w:ascii="Tahoma" w:hAnsi="Tahoma" w:cs="Tahoma"/>
          <w:sz w:val="22"/>
          <w:szCs w:val="22"/>
        </w:rPr>
        <w:t xml:space="preserve"> alone</w:t>
      </w:r>
      <w:r w:rsidR="00CF7D2D">
        <w:rPr>
          <w:rFonts w:ascii="Tahoma" w:hAnsi="Tahoma" w:cs="Tahoma"/>
          <w:sz w:val="22"/>
          <w:szCs w:val="22"/>
        </w:rPr>
        <w:t xml:space="preserve"> </w:t>
      </w:r>
      <w:r w:rsidRPr="00DF0C92">
        <w:rPr>
          <w:rFonts w:ascii="Tahoma" w:hAnsi="Tahoma" w:cs="Tahoma"/>
          <w:sz w:val="22"/>
          <w:szCs w:val="22"/>
        </w:rPr>
        <w:t xml:space="preserve">and Consolidated) </w:t>
      </w:r>
      <w:r w:rsidR="00034742">
        <w:rPr>
          <w:rFonts w:ascii="Tahoma" w:hAnsi="Tahoma" w:cs="Tahoma"/>
          <w:sz w:val="22"/>
          <w:szCs w:val="22"/>
        </w:rPr>
        <w:t>for</w:t>
      </w:r>
      <w:r w:rsidR="00CF7D2D">
        <w:rPr>
          <w:rFonts w:ascii="Tahoma" w:hAnsi="Tahoma" w:cs="Tahoma"/>
          <w:sz w:val="22"/>
          <w:szCs w:val="22"/>
        </w:rPr>
        <w:t xml:space="preserve"> </w:t>
      </w:r>
      <w:r w:rsidRPr="00DF0C92">
        <w:rPr>
          <w:rFonts w:ascii="Tahoma" w:hAnsi="Tahoma" w:cs="Tahoma"/>
          <w:sz w:val="22"/>
          <w:szCs w:val="22"/>
        </w:rPr>
        <w:t xml:space="preserve">the fiscal year 2014 (1/1/2014-31/12/2014), with the relevant Board of Directors’ and Certified Auditors’ Reports. </w:t>
      </w:r>
      <w:r w:rsidR="00034742">
        <w:rPr>
          <w:rFonts w:ascii="Tahoma" w:hAnsi="Tahoma" w:cs="Tahoma"/>
          <w:sz w:val="22"/>
          <w:szCs w:val="22"/>
        </w:rPr>
        <w:t>Shareholders</w:t>
      </w:r>
      <w:r w:rsidR="00CF7D2D">
        <w:rPr>
          <w:rFonts w:ascii="Tahoma" w:hAnsi="Tahoma" w:cs="Tahoma"/>
          <w:sz w:val="22"/>
          <w:szCs w:val="22"/>
        </w:rPr>
        <w:t xml:space="preserve"> </w:t>
      </w:r>
      <w:r w:rsidRPr="00DF0C92">
        <w:rPr>
          <w:rFonts w:ascii="Tahoma" w:hAnsi="Tahoma" w:cs="Tahoma"/>
          <w:sz w:val="22"/>
          <w:szCs w:val="22"/>
        </w:rPr>
        <w:t xml:space="preserve">also approved the distribution of </w:t>
      </w:r>
      <w:r w:rsidR="00CF7D2D" w:rsidRPr="00DF0C92">
        <w:rPr>
          <w:rFonts w:ascii="Tahoma" w:hAnsi="Tahoma" w:cs="Tahoma"/>
          <w:sz w:val="22"/>
          <w:szCs w:val="22"/>
        </w:rPr>
        <w:t xml:space="preserve">dividend </w:t>
      </w:r>
      <w:r w:rsidR="00F564E3">
        <w:rPr>
          <w:rFonts w:ascii="Tahoma" w:hAnsi="Tahoma" w:cs="Tahoma"/>
          <w:sz w:val="22"/>
          <w:szCs w:val="22"/>
        </w:rPr>
        <w:t xml:space="preserve">amounting to </w:t>
      </w:r>
      <w:r w:rsidRPr="00DF0C92">
        <w:rPr>
          <w:rFonts w:ascii="Tahoma" w:hAnsi="Tahoma" w:cs="Tahoma"/>
          <w:sz w:val="22"/>
          <w:szCs w:val="22"/>
        </w:rPr>
        <w:t>€0.08 per share. The ex-dividend date will be Thursday, June 25, 2015 and the dividend payment date will be Thursday, July 2, 2015.</w:t>
      </w:r>
    </w:p>
    <w:p w:rsidR="00771B95" w:rsidRPr="00DF0C92" w:rsidRDefault="00771B95" w:rsidP="00771B95">
      <w:pPr>
        <w:tabs>
          <w:tab w:val="left" w:pos="851"/>
        </w:tabs>
        <w:ind w:right="45"/>
        <w:jc w:val="both"/>
        <w:rPr>
          <w:rFonts w:ascii="Tahoma" w:hAnsi="Tahoma" w:cs="Tahoma"/>
          <w:sz w:val="22"/>
          <w:szCs w:val="22"/>
        </w:rPr>
      </w:pPr>
    </w:p>
    <w:p w:rsidR="00E62379" w:rsidRPr="00DF0C92" w:rsidRDefault="00771B95" w:rsidP="00DF0C92">
      <w:pPr>
        <w:tabs>
          <w:tab w:val="left" w:pos="851"/>
        </w:tabs>
        <w:spacing w:after="120"/>
        <w:ind w:right="44"/>
        <w:jc w:val="both"/>
        <w:rPr>
          <w:rFonts w:ascii="Tahoma" w:hAnsi="Tahoma" w:cs="Tahoma"/>
          <w:sz w:val="22"/>
          <w:szCs w:val="22"/>
        </w:rPr>
      </w:pPr>
      <w:r w:rsidRPr="00DF0C92">
        <w:rPr>
          <w:rFonts w:ascii="Tahoma" w:hAnsi="Tahoma" w:cs="Tahoma"/>
          <w:sz w:val="22"/>
          <w:szCs w:val="22"/>
        </w:rPr>
        <w:t>The majority of Shareholders also approved:</w:t>
      </w:r>
    </w:p>
    <w:p w:rsidR="00771B95" w:rsidRPr="00DF0C92" w:rsidRDefault="00F83134" w:rsidP="00DF0C92">
      <w:pPr>
        <w:pStyle w:val="ListParagraph"/>
        <w:numPr>
          <w:ilvl w:val="0"/>
          <w:numId w:val="21"/>
        </w:numPr>
        <w:tabs>
          <w:tab w:val="num" w:pos="709"/>
        </w:tabs>
        <w:spacing w:line="240" w:lineRule="auto"/>
        <w:ind w:left="714" w:right="44" w:hanging="357"/>
        <w:rPr>
          <w:rFonts w:ascii="Tahoma" w:hAnsi="Tahoma" w:cs="Tahoma"/>
          <w:iCs/>
          <w:sz w:val="22"/>
          <w:szCs w:val="22"/>
          <w:lang w:val="en-US"/>
        </w:rPr>
      </w:pPr>
      <w:r w:rsidRPr="00DF0C92">
        <w:rPr>
          <w:rFonts w:ascii="Tahoma" w:hAnsi="Tahoma" w:cs="Tahoma"/>
          <w:iCs/>
          <w:color w:val="000000"/>
          <w:sz w:val="22"/>
          <w:szCs w:val="22"/>
          <w:lang w:val="en-GB"/>
        </w:rPr>
        <w:t xml:space="preserve">The </w:t>
      </w:r>
      <w:r w:rsidR="00771B95" w:rsidRPr="00DF0C92">
        <w:rPr>
          <w:rFonts w:ascii="Tahoma" w:hAnsi="Tahoma" w:cs="Tahoma"/>
          <w:iCs/>
          <w:color w:val="000000"/>
          <w:sz w:val="22"/>
          <w:szCs w:val="22"/>
          <w:lang w:val="en-GB"/>
        </w:rPr>
        <w:t>exoneration of the members of the Board of Directors and the Certified Auditors of any liability, for the fiscal year 2014, pursuant to article 35 of C.L.2190/1920.</w:t>
      </w:r>
    </w:p>
    <w:p w:rsidR="00771B95" w:rsidRPr="00DF0C92" w:rsidRDefault="00771B95" w:rsidP="00DF0C92">
      <w:pPr>
        <w:pStyle w:val="ListParagraph"/>
        <w:numPr>
          <w:ilvl w:val="0"/>
          <w:numId w:val="21"/>
        </w:numPr>
        <w:tabs>
          <w:tab w:val="left" w:pos="851"/>
        </w:tabs>
        <w:spacing w:line="240" w:lineRule="auto"/>
        <w:ind w:left="714" w:right="44" w:hanging="357"/>
        <w:rPr>
          <w:rFonts w:ascii="Tahoma" w:hAnsi="Tahoma" w:cs="Tahoma"/>
          <w:sz w:val="22"/>
          <w:szCs w:val="22"/>
          <w:lang w:val="en-GB"/>
        </w:rPr>
      </w:pPr>
      <w:r w:rsidRPr="00DF0C92">
        <w:rPr>
          <w:rFonts w:ascii="Tahoma" w:hAnsi="Tahoma" w:cs="Tahoma"/>
          <w:sz w:val="22"/>
          <w:szCs w:val="22"/>
          <w:lang w:val="en-GB"/>
        </w:rPr>
        <w:t xml:space="preserve">The appointment of </w:t>
      </w:r>
      <w:r w:rsidRPr="0026319A">
        <w:rPr>
          <w:rFonts w:ascii="Tahoma" w:hAnsi="Tahoma" w:cs="Tahoma"/>
          <w:sz w:val="22"/>
          <w:szCs w:val="22"/>
        </w:rPr>
        <w:t>PRICEWATERHOUSECOOPERS S.A.</w:t>
      </w:r>
      <w:r w:rsidR="00F564E3">
        <w:rPr>
          <w:rFonts w:ascii="Tahoma" w:hAnsi="Tahoma" w:cs="Tahoma"/>
          <w:sz w:val="22"/>
          <w:szCs w:val="22"/>
        </w:rPr>
        <w:t xml:space="preserve"> </w:t>
      </w:r>
      <w:r w:rsidRPr="0026319A">
        <w:rPr>
          <w:rFonts w:ascii="Tahoma" w:hAnsi="Tahoma" w:cs="Tahoma"/>
          <w:sz w:val="22"/>
          <w:szCs w:val="22"/>
          <w:lang w:val="en-GB"/>
        </w:rPr>
        <w:t>as</w:t>
      </w:r>
      <w:r w:rsidRPr="00DF0C92">
        <w:rPr>
          <w:rFonts w:ascii="Tahoma" w:hAnsi="Tahoma" w:cs="Tahoma"/>
          <w:sz w:val="22"/>
          <w:szCs w:val="22"/>
          <w:lang w:val="en-GB"/>
        </w:rPr>
        <w:t xml:space="preserve"> Chartered Auditors for the Ordinary Audit of the Financial Statements of OTE S.A. (both </w:t>
      </w:r>
      <w:r w:rsidR="00034742">
        <w:rPr>
          <w:rFonts w:ascii="Tahoma" w:hAnsi="Tahoma" w:cs="Tahoma"/>
          <w:sz w:val="22"/>
          <w:szCs w:val="22"/>
          <w:lang w:val="en-GB"/>
        </w:rPr>
        <w:t>Stand alone</w:t>
      </w:r>
      <w:r w:rsidR="007401E1">
        <w:rPr>
          <w:rFonts w:ascii="Tahoma" w:hAnsi="Tahoma" w:cs="Tahoma"/>
          <w:sz w:val="22"/>
          <w:szCs w:val="22"/>
          <w:lang w:val="en-GB"/>
        </w:rPr>
        <w:t xml:space="preserve"> </w:t>
      </w:r>
      <w:r w:rsidRPr="00DF0C92">
        <w:rPr>
          <w:rFonts w:ascii="Tahoma" w:hAnsi="Tahoma" w:cs="Tahoma"/>
          <w:sz w:val="22"/>
          <w:szCs w:val="22"/>
          <w:lang w:val="en-GB"/>
        </w:rPr>
        <w:t xml:space="preserve">and Consolidated), in accordance with the International Financial Reporting Standards, for the fiscal year 2015. </w:t>
      </w:r>
    </w:p>
    <w:p w:rsidR="00771B95" w:rsidRPr="00DF0C92" w:rsidRDefault="00771B95" w:rsidP="00DF0C92">
      <w:pPr>
        <w:pStyle w:val="ListParagraph"/>
        <w:numPr>
          <w:ilvl w:val="0"/>
          <w:numId w:val="21"/>
        </w:numPr>
        <w:tabs>
          <w:tab w:val="num" w:pos="709"/>
        </w:tabs>
        <w:spacing w:line="240" w:lineRule="auto"/>
        <w:ind w:left="714" w:right="44" w:hanging="357"/>
        <w:rPr>
          <w:rFonts w:ascii="Tahoma" w:hAnsi="Tahoma" w:cs="Tahoma"/>
          <w:sz w:val="22"/>
          <w:szCs w:val="22"/>
        </w:rPr>
      </w:pPr>
      <w:r w:rsidRPr="00DF0C92">
        <w:rPr>
          <w:rFonts w:ascii="Tahoma" w:hAnsi="Tahoma" w:cs="Tahoma"/>
          <w:sz w:val="22"/>
          <w:szCs w:val="22"/>
          <w:lang w:val="en-GB"/>
        </w:rPr>
        <w:t>The remuneration, compensation and expenses of the members of the Board of Directors and its Committees for the fiscal year 2014 and determination of them for the fiscal year 2015</w:t>
      </w:r>
      <w:r w:rsidRPr="00DF0C92">
        <w:rPr>
          <w:rFonts w:ascii="Tahoma" w:hAnsi="Tahoma" w:cs="Tahoma"/>
          <w:sz w:val="22"/>
          <w:szCs w:val="22"/>
          <w:lang w:val="en-US"/>
        </w:rPr>
        <w:t xml:space="preserve">. </w:t>
      </w:r>
    </w:p>
    <w:p w:rsidR="00CB23A1" w:rsidRPr="00DF0C92" w:rsidRDefault="00CB23A1" w:rsidP="00DF0C92">
      <w:pPr>
        <w:pStyle w:val="ListParagraph"/>
        <w:numPr>
          <w:ilvl w:val="0"/>
          <w:numId w:val="21"/>
        </w:numPr>
        <w:tabs>
          <w:tab w:val="num" w:pos="709"/>
        </w:tabs>
        <w:spacing w:line="240" w:lineRule="auto"/>
        <w:ind w:left="714" w:right="44" w:hanging="357"/>
        <w:rPr>
          <w:rFonts w:ascii="Tahoma" w:hAnsi="Tahoma" w:cs="Tahoma"/>
          <w:iCs/>
          <w:sz w:val="22"/>
          <w:szCs w:val="22"/>
        </w:rPr>
      </w:pPr>
      <w:r w:rsidRPr="00DF0C92">
        <w:rPr>
          <w:rFonts w:ascii="Tahoma" w:hAnsi="Tahoma" w:cs="Tahoma"/>
          <w:sz w:val="22"/>
          <w:szCs w:val="22"/>
        </w:rPr>
        <w:t>The amendment of the contract of an executive</w:t>
      </w:r>
      <w:r w:rsidR="007401E1">
        <w:rPr>
          <w:rFonts w:ascii="Tahoma" w:hAnsi="Tahoma" w:cs="Tahoma"/>
          <w:sz w:val="22"/>
          <w:szCs w:val="22"/>
        </w:rPr>
        <w:t xml:space="preserve"> </w:t>
      </w:r>
      <w:r w:rsidRPr="00DF0C92">
        <w:rPr>
          <w:rFonts w:ascii="Tahoma" w:hAnsi="Tahoma" w:cs="Tahoma"/>
          <w:sz w:val="22"/>
          <w:szCs w:val="22"/>
        </w:rPr>
        <w:t>member of the Board of Directors, pursuant to article 23</w:t>
      </w:r>
      <w:r w:rsidRPr="00DF0C92">
        <w:rPr>
          <w:rFonts w:ascii="Tahoma" w:hAnsi="Tahoma" w:cs="Tahoma"/>
          <w:sz w:val="22"/>
          <w:szCs w:val="22"/>
          <w:vertAlign w:val="superscript"/>
        </w:rPr>
        <w:t>a</w:t>
      </w:r>
      <w:r w:rsidRPr="00DF0C92">
        <w:rPr>
          <w:rFonts w:ascii="Tahoma" w:hAnsi="Tahoma" w:cs="Tahoma"/>
          <w:sz w:val="22"/>
          <w:szCs w:val="22"/>
        </w:rPr>
        <w:t xml:space="preserve"> of C.L.2190/1920.</w:t>
      </w:r>
    </w:p>
    <w:p w:rsidR="00CB23A1" w:rsidRPr="00DF0C92" w:rsidRDefault="00CB23A1" w:rsidP="00DF0C92">
      <w:pPr>
        <w:pStyle w:val="ListParagraph"/>
        <w:numPr>
          <w:ilvl w:val="0"/>
          <w:numId w:val="21"/>
        </w:numPr>
        <w:tabs>
          <w:tab w:val="num" w:pos="709"/>
        </w:tabs>
        <w:spacing w:line="240" w:lineRule="auto"/>
        <w:ind w:left="714" w:right="44" w:hanging="357"/>
        <w:rPr>
          <w:rFonts w:ascii="Tahoma" w:hAnsi="Tahoma" w:cs="Tahoma"/>
          <w:sz w:val="22"/>
          <w:szCs w:val="22"/>
        </w:rPr>
      </w:pPr>
      <w:r w:rsidRPr="007E24A1">
        <w:rPr>
          <w:rFonts w:ascii="Tahoma" w:hAnsi="Tahoma" w:cs="Tahoma"/>
          <w:iCs/>
          <w:color w:val="000000"/>
          <w:sz w:val="22"/>
          <w:szCs w:val="22"/>
        </w:rPr>
        <w:t>The continuation of the</w:t>
      </w:r>
      <w:r w:rsidR="007401E1">
        <w:rPr>
          <w:rFonts w:ascii="Tahoma" w:hAnsi="Tahoma" w:cs="Tahoma"/>
          <w:iCs/>
          <w:color w:val="000000"/>
          <w:sz w:val="22"/>
          <w:szCs w:val="22"/>
        </w:rPr>
        <w:t xml:space="preserve"> </w:t>
      </w:r>
      <w:r w:rsidRPr="00CF1789">
        <w:rPr>
          <w:rFonts w:ascii="Tahoma" w:hAnsi="Tahoma" w:cs="Tahoma"/>
          <w:sz w:val="22"/>
          <w:szCs w:val="22"/>
          <w:lang w:val="en-GB"/>
        </w:rPr>
        <w:t>insurance</w:t>
      </w:r>
      <w:r w:rsidRPr="00DF0C92">
        <w:rPr>
          <w:rFonts w:ascii="Tahoma" w:hAnsi="Tahoma" w:cs="Tahoma"/>
          <w:sz w:val="22"/>
          <w:szCs w:val="22"/>
          <w:lang w:val="en-GB"/>
        </w:rPr>
        <w:t xml:space="preserve"> coverage</w:t>
      </w:r>
      <w:r w:rsidR="009D5D32">
        <w:rPr>
          <w:rFonts w:ascii="Tahoma" w:hAnsi="Tahoma" w:cs="Tahoma"/>
          <w:sz w:val="22"/>
          <w:szCs w:val="22"/>
          <w:lang w:val="en-GB"/>
        </w:rPr>
        <w:t xml:space="preserve"> of the members of the Board of Directors and</w:t>
      </w:r>
      <w:r w:rsidR="007401E1">
        <w:rPr>
          <w:rFonts w:ascii="Tahoma" w:hAnsi="Tahoma" w:cs="Tahoma"/>
          <w:sz w:val="22"/>
          <w:szCs w:val="22"/>
          <w:lang w:val="en-GB"/>
        </w:rPr>
        <w:t xml:space="preserve"> </w:t>
      </w:r>
      <w:r w:rsidRPr="00DF0C92">
        <w:rPr>
          <w:rFonts w:ascii="Tahoma" w:hAnsi="Tahoma" w:cs="Tahoma"/>
          <w:sz w:val="22"/>
          <w:szCs w:val="22"/>
        </w:rPr>
        <w:t>Officers</w:t>
      </w:r>
      <w:r w:rsidR="007401E1">
        <w:rPr>
          <w:rFonts w:ascii="Tahoma" w:hAnsi="Tahoma" w:cs="Tahoma"/>
          <w:sz w:val="22"/>
          <w:szCs w:val="22"/>
        </w:rPr>
        <w:t xml:space="preserve"> </w:t>
      </w:r>
      <w:r w:rsidRPr="00DF0C92">
        <w:rPr>
          <w:rFonts w:ascii="Tahoma" w:hAnsi="Tahoma" w:cs="Tahoma"/>
          <w:sz w:val="22"/>
          <w:szCs w:val="22"/>
          <w:lang w:val="en-GB"/>
        </w:rPr>
        <w:t xml:space="preserve">of OTE S.A. and its affiliated companies, </w:t>
      </w:r>
      <w:r w:rsidRPr="00DF0C92">
        <w:rPr>
          <w:rFonts w:ascii="Tahoma" w:hAnsi="Tahoma" w:cs="Tahoma"/>
          <w:sz w:val="22"/>
          <w:szCs w:val="22"/>
        </w:rPr>
        <w:t>against</w:t>
      </w:r>
      <w:r w:rsidR="007401E1">
        <w:rPr>
          <w:rFonts w:ascii="Tahoma" w:hAnsi="Tahoma" w:cs="Tahoma"/>
          <w:sz w:val="22"/>
          <w:szCs w:val="22"/>
        </w:rPr>
        <w:t xml:space="preserve"> </w:t>
      </w:r>
      <w:r w:rsidRPr="00DF0C92">
        <w:rPr>
          <w:rFonts w:ascii="Tahoma" w:hAnsi="Tahoma" w:cs="Tahoma"/>
          <w:sz w:val="22"/>
          <w:szCs w:val="22"/>
        </w:rPr>
        <w:t>liabilities</w:t>
      </w:r>
      <w:r w:rsidR="007401E1">
        <w:rPr>
          <w:rFonts w:ascii="Tahoma" w:hAnsi="Tahoma" w:cs="Tahoma"/>
          <w:sz w:val="22"/>
          <w:szCs w:val="22"/>
        </w:rPr>
        <w:t xml:space="preserve"> </w:t>
      </w:r>
      <w:r w:rsidRPr="00DF0C92">
        <w:rPr>
          <w:rFonts w:ascii="Tahoma" w:hAnsi="Tahoma" w:cs="Tahoma"/>
          <w:sz w:val="22"/>
          <w:szCs w:val="22"/>
        </w:rPr>
        <w:t xml:space="preserve">incurred in </w:t>
      </w:r>
      <w:r w:rsidRPr="00DF0C92">
        <w:rPr>
          <w:rFonts w:ascii="Tahoma" w:hAnsi="Tahoma" w:cs="Tahoma"/>
          <w:bCs/>
          <w:sz w:val="22"/>
          <w:szCs w:val="22"/>
        </w:rPr>
        <w:t>the exercise of their</w:t>
      </w:r>
      <w:r w:rsidR="007401E1">
        <w:rPr>
          <w:rFonts w:ascii="Tahoma" w:hAnsi="Tahoma" w:cs="Tahoma"/>
          <w:bCs/>
          <w:sz w:val="22"/>
          <w:szCs w:val="22"/>
        </w:rPr>
        <w:t xml:space="preserve"> </w:t>
      </w:r>
      <w:r w:rsidRPr="00DF0C92">
        <w:rPr>
          <w:rFonts w:ascii="Tahoma" w:hAnsi="Tahoma" w:cs="Tahoma"/>
          <w:bCs/>
          <w:sz w:val="22"/>
          <w:szCs w:val="22"/>
        </w:rPr>
        <w:t>competences, duties and functions</w:t>
      </w:r>
      <w:r w:rsidR="007401E1">
        <w:rPr>
          <w:rFonts w:ascii="Tahoma" w:hAnsi="Tahoma" w:cs="Tahoma"/>
          <w:bCs/>
          <w:sz w:val="22"/>
          <w:szCs w:val="22"/>
        </w:rPr>
        <w:t xml:space="preserve"> </w:t>
      </w:r>
      <w:r w:rsidRPr="00DF0C92">
        <w:rPr>
          <w:rFonts w:ascii="Tahoma" w:hAnsi="Tahoma" w:cs="Tahoma"/>
          <w:sz w:val="22"/>
          <w:szCs w:val="22"/>
        </w:rPr>
        <w:t>and grant of authorization to sign the relevant contract.</w:t>
      </w:r>
    </w:p>
    <w:p w:rsidR="00C72187" w:rsidRPr="007E24A1" w:rsidRDefault="007250E2" w:rsidP="00DF0C92">
      <w:pPr>
        <w:pStyle w:val="ListParagraph"/>
        <w:numPr>
          <w:ilvl w:val="0"/>
          <w:numId w:val="21"/>
        </w:numPr>
        <w:tabs>
          <w:tab w:val="num" w:pos="709"/>
        </w:tabs>
        <w:spacing w:line="240" w:lineRule="auto"/>
        <w:ind w:left="714" w:right="44" w:hanging="357"/>
        <w:rPr>
          <w:rFonts w:ascii="Tahoma" w:hAnsi="Tahoma" w:cs="Tahoma"/>
          <w:iCs/>
          <w:sz w:val="22"/>
          <w:szCs w:val="22"/>
        </w:rPr>
      </w:pPr>
      <w:r w:rsidRPr="007E24A1">
        <w:rPr>
          <w:rFonts w:ascii="Tahoma" w:hAnsi="Tahoma" w:cs="Tahoma"/>
          <w:sz w:val="22"/>
          <w:szCs w:val="22"/>
        </w:rPr>
        <w:t>The granting by the General Shareholders’ Meeting of a special permission, pursuant to article 23a of C.L.</w:t>
      </w:r>
      <w:r w:rsidR="006F2C01">
        <w:rPr>
          <w:rFonts w:ascii="Tahoma" w:hAnsi="Tahoma" w:cs="Tahoma"/>
          <w:sz w:val="22"/>
          <w:szCs w:val="22"/>
        </w:rPr>
        <w:t xml:space="preserve"> </w:t>
      </w:r>
      <w:r w:rsidRPr="007E24A1">
        <w:rPr>
          <w:rFonts w:ascii="Tahoma" w:hAnsi="Tahoma" w:cs="Tahoma"/>
          <w:sz w:val="22"/>
          <w:szCs w:val="22"/>
        </w:rPr>
        <w:t>2190/1920</w:t>
      </w:r>
      <w:r w:rsidR="00F564E3">
        <w:rPr>
          <w:rFonts w:ascii="Tahoma" w:hAnsi="Tahoma" w:cs="Tahoma"/>
          <w:sz w:val="22"/>
          <w:szCs w:val="22"/>
        </w:rPr>
        <w:t> :</w:t>
      </w:r>
    </w:p>
    <w:p w:rsidR="00CB23A1" w:rsidRPr="00DF0C92" w:rsidRDefault="007250E2" w:rsidP="007E24A1">
      <w:pPr>
        <w:pStyle w:val="ListParagraph"/>
        <w:numPr>
          <w:ilvl w:val="0"/>
          <w:numId w:val="22"/>
        </w:numPr>
        <w:spacing w:line="240" w:lineRule="auto"/>
        <w:ind w:right="44"/>
        <w:rPr>
          <w:rFonts w:ascii="Tahoma" w:hAnsi="Tahoma" w:cs="Tahoma"/>
          <w:iCs/>
          <w:sz w:val="22"/>
          <w:szCs w:val="22"/>
        </w:rPr>
      </w:pPr>
      <w:r w:rsidRPr="007E24A1">
        <w:rPr>
          <w:rFonts w:ascii="Tahoma" w:hAnsi="Tahoma" w:cs="Tahoma"/>
          <w:sz w:val="22"/>
          <w:szCs w:val="22"/>
        </w:rPr>
        <w:t>for the</w:t>
      </w:r>
      <w:r w:rsidR="00F564E3">
        <w:rPr>
          <w:rFonts w:ascii="Tahoma" w:hAnsi="Tahoma" w:cs="Tahoma"/>
          <w:sz w:val="22"/>
          <w:szCs w:val="22"/>
        </w:rPr>
        <w:t xml:space="preserve"> </w:t>
      </w:r>
      <w:r w:rsidRPr="00DF0C92">
        <w:rPr>
          <w:rFonts w:ascii="Tahoma" w:hAnsi="Tahoma" w:cs="Tahoma"/>
          <w:sz w:val="22"/>
          <w:szCs w:val="22"/>
        </w:rPr>
        <w:t>amendment of the Participation Agreements</w:t>
      </w:r>
      <w:r w:rsidR="006F2C01">
        <w:rPr>
          <w:rFonts w:ascii="Tahoma" w:hAnsi="Tahoma" w:cs="Tahoma"/>
          <w:sz w:val="22"/>
          <w:szCs w:val="22"/>
        </w:rPr>
        <w:t xml:space="preserve"> </w:t>
      </w:r>
      <w:r w:rsidRPr="00DF0C92">
        <w:rPr>
          <w:rFonts w:ascii="Tahoma" w:hAnsi="Tahoma" w:cs="Tahoma"/>
          <w:sz w:val="22"/>
          <w:szCs w:val="22"/>
        </w:rPr>
        <w:t>between OTE S.A. and the OTE Group companies, namely COSMOTE, AMC, TELEKOM ROMANIA COMMUNICATIONS and TELEKOM ROMANIA MOBILE COMMUNICATIONS on the one hand and BUYIN S.A. on the other hand for the participation to the procurement</w:t>
      </w:r>
      <w:r w:rsidR="006F2C01">
        <w:rPr>
          <w:rFonts w:ascii="Tahoma" w:hAnsi="Tahoma" w:cs="Tahoma"/>
          <w:sz w:val="22"/>
          <w:szCs w:val="22"/>
        </w:rPr>
        <w:t xml:space="preserve"> </w:t>
      </w:r>
      <w:r w:rsidRPr="00DF0C92">
        <w:rPr>
          <w:rFonts w:ascii="Tahoma" w:hAnsi="Tahoma" w:cs="Tahoma"/>
          <w:sz w:val="22"/>
          <w:szCs w:val="22"/>
        </w:rPr>
        <w:t>activities of BUYIN S.A.</w:t>
      </w:r>
      <w:r w:rsidR="00F564E3">
        <w:rPr>
          <w:rFonts w:ascii="Tahoma" w:hAnsi="Tahoma" w:cs="Tahoma"/>
          <w:sz w:val="22"/>
          <w:szCs w:val="22"/>
        </w:rPr>
        <w:t>,</w:t>
      </w:r>
      <w:r w:rsidRPr="00DF0C92">
        <w:rPr>
          <w:rFonts w:ascii="Tahoma" w:hAnsi="Tahoma" w:cs="Tahoma"/>
          <w:sz w:val="22"/>
          <w:szCs w:val="22"/>
        </w:rPr>
        <w:t xml:space="preserve"> </w:t>
      </w:r>
    </w:p>
    <w:p w:rsidR="00DF0C92" w:rsidRPr="007E24A1" w:rsidRDefault="00DF0C92" w:rsidP="007E24A1">
      <w:pPr>
        <w:pStyle w:val="ListParagraph"/>
        <w:numPr>
          <w:ilvl w:val="0"/>
          <w:numId w:val="22"/>
        </w:numPr>
        <w:spacing w:line="240" w:lineRule="auto"/>
        <w:ind w:right="44"/>
        <w:rPr>
          <w:rFonts w:ascii="Tahoma" w:hAnsi="Tahoma" w:cs="Tahoma"/>
          <w:sz w:val="22"/>
          <w:szCs w:val="22"/>
        </w:rPr>
      </w:pPr>
      <w:r w:rsidRPr="007E24A1">
        <w:rPr>
          <w:rFonts w:ascii="Tahoma" w:hAnsi="Tahoma" w:cs="Tahoma"/>
          <w:sz w:val="22"/>
          <w:szCs w:val="22"/>
        </w:rPr>
        <w:t>for entering</w:t>
      </w:r>
      <w:r w:rsidR="006F2C01">
        <w:rPr>
          <w:rFonts w:ascii="Tahoma" w:hAnsi="Tahoma" w:cs="Tahoma"/>
          <w:sz w:val="22"/>
          <w:szCs w:val="22"/>
        </w:rPr>
        <w:t xml:space="preserve"> </w:t>
      </w:r>
      <w:r w:rsidRPr="007E24A1">
        <w:rPr>
          <w:rFonts w:ascii="Tahoma" w:hAnsi="Tahoma" w:cs="Tahoma"/>
          <w:sz w:val="22"/>
          <w:szCs w:val="22"/>
        </w:rPr>
        <w:t>into the separate</w:t>
      </w:r>
      <w:r w:rsidR="006F2C01">
        <w:rPr>
          <w:rFonts w:ascii="Tahoma" w:hAnsi="Tahoma" w:cs="Tahoma"/>
          <w:sz w:val="22"/>
          <w:szCs w:val="22"/>
        </w:rPr>
        <w:t xml:space="preserve"> </w:t>
      </w:r>
      <w:r w:rsidRPr="007E24A1">
        <w:rPr>
          <w:rFonts w:ascii="Tahoma" w:hAnsi="Tahoma" w:cs="Tahoma"/>
          <w:sz w:val="22"/>
          <w:szCs w:val="22"/>
        </w:rPr>
        <w:t xml:space="preserve">agreements (“Service Arrangements”) between OTE S.A. and OTE Group companies on the one hand and Deutsche Telecom AG on the other for the rendering by the latter of services for year 2015 in the Procurement Area </w:t>
      </w:r>
      <w:r w:rsidR="009D5D32">
        <w:rPr>
          <w:rFonts w:ascii="Tahoma" w:hAnsi="Tahoma" w:cs="Tahoma"/>
          <w:sz w:val="22"/>
          <w:szCs w:val="22"/>
        </w:rPr>
        <w:t>and</w:t>
      </w:r>
    </w:p>
    <w:p w:rsidR="00DF0C92" w:rsidRPr="00DF0C92" w:rsidRDefault="00DF0C92" w:rsidP="007E24A1">
      <w:pPr>
        <w:pStyle w:val="ListParagraph"/>
        <w:numPr>
          <w:ilvl w:val="0"/>
          <w:numId w:val="22"/>
        </w:numPr>
        <w:spacing w:line="240" w:lineRule="auto"/>
        <w:ind w:right="44"/>
        <w:rPr>
          <w:rFonts w:ascii="Tahoma" w:hAnsi="Tahoma" w:cs="Tahoma"/>
          <w:iCs/>
          <w:sz w:val="22"/>
          <w:szCs w:val="22"/>
        </w:rPr>
      </w:pPr>
      <w:r w:rsidRPr="00DF0C92">
        <w:rPr>
          <w:rFonts w:ascii="Tahoma" w:hAnsi="Tahoma" w:cs="Tahoma"/>
          <w:sz w:val="22"/>
          <w:szCs w:val="22"/>
        </w:rPr>
        <w:t>for the conclusion of a contract</w:t>
      </w:r>
      <w:r w:rsidR="004E71C5">
        <w:rPr>
          <w:rFonts w:ascii="Tahoma" w:hAnsi="Tahoma" w:cs="Tahoma"/>
          <w:sz w:val="22"/>
          <w:szCs w:val="22"/>
        </w:rPr>
        <w:t xml:space="preserve"> </w:t>
      </w:r>
      <w:r w:rsidRPr="00DF0C92">
        <w:rPr>
          <w:rFonts w:ascii="Tahoma" w:hAnsi="Tahoma" w:cs="Tahoma"/>
          <w:sz w:val="22"/>
          <w:szCs w:val="22"/>
        </w:rPr>
        <w:t>between</w:t>
      </w:r>
      <w:r w:rsidR="004E71C5">
        <w:rPr>
          <w:rFonts w:ascii="Tahoma" w:hAnsi="Tahoma" w:cs="Tahoma"/>
          <w:sz w:val="22"/>
          <w:szCs w:val="22"/>
        </w:rPr>
        <w:t xml:space="preserve"> </w:t>
      </w:r>
      <w:r w:rsidRPr="00DF0C92">
        <w:rPr>
          <w:rFonts w:ascii="Tahoma" w:hAnsi="Tahoma" w:cs="Tahoma"/>
          <w:sz w:val="22"/>
          <w:szCs w:val="22"/>
        </w:rPr>
        <w:t>Albanian Mobile Communications Sh.A. and Deutsche Telekom AG regarding the provision by the latter of a</w:t>
      </w:r>
      <w:r w:rsidR="004E71C5">
        <w:rPr>
          <w:rFonts w:ascii="Tahoma" w:hAnsi="Tahoma" w:cs="Tahoma"/>
          <w:sz w:val="22"/>
          <w:szCs w:val="22"/>
        </w:rPr>
        <w:t xml:space="preserve"> </w:t>
      </w:r>
      <w:r w:rsidRPr="00DF0C92">
        <w:rPr>
          <w:rFonts w:ascii="Tahoma" w:hAnsi="Tahoma" w:cs="Tahoma"/>
          <w:sz w:val="22"/>
          <w:szCs w:val="22"/>
        </w:rPr>
        <w:t>license for the use of trademarks (License Agreement).</w:t>
      </w:r>
    </w:p>
    <w:p w:rsidR="00DF0C92" w:rsidRPr="00DF0C92" w:rsidRDefault="00DF0C92" w:rsidP="00DF0C92">
      <w:pPr>
        <w:pStyle w:val="ListParagraph"/>
        <w:numPr>
          <w:ilvl w:val="0"/>
          <w:numId w:val="21"/>
        </w:numPr>
        <w:tabs>
          <w:tab w:val="num" w:pos="709"/>
        </w:tabs>
        <w:spacing w:line="240" w:lineRule="auto"/>
        <w:ind w:left="714" w:right="44" w:hanging="357"/>
        <w:rPr>
          <w:rFonts w:ascii="Tahoma" w:hAnsi="Tahoma" w:cs="Tahoma"/>
          <w:sz w:val="22"/>
          <w:szCs w:val="22"/>
        </w:rPr>
      </w:pPr>
      <w:r w:rsidRPr="00DF0C92">
        <w:rPr>
          <w:rFonts w:ascii="Tahoma" w:hAnsi="Tahoma" w:cs="Tahoma"/>
          <w:sz w:val="22"/>
          <w:szCs w:val="22"/>
        </w:rPr>
        <w:t>The amendment of articles 2 (</w:t>
      </w:r>
      <w:r w:rsidRPr="00DF0C92">
        <w:rPr>
          <w:rFonts w:ascii="Tahoma" w:hAnsi="Tahoma" w:cs="Tahoma"/>
          <w:bCs/>
          <w:sz w:val="22"/>
          <w:szCs w:val="22"/>
        </w:rPr>
        <w:t>Object</w:t>
      </w:r>
      <w:r w:rsidRPr="00DF0C92">
        <w:rPr>
          <w:rFonts w:ascii="Tahoma" w:hAnsi="Tahoma" w:cs="Tahoma"/>
          <w:sz w:val="22"/>
          <w:szCs w:val="22"/>
        </w:rPr>
        <w:t>) and 14 (Non Competition) of the Company’s Articles of Incorporation.</w:t>
      </w:r>
    </w:p>
    <w:p w:rsidR="00DF0C92" w:rsidRPr="00DF0C92" w:rsidRDefault="00DF0C92" w:rsidP="00DF0C92">
      <w:pPr>
        <w:pStyle w:val="ListParagraph"/>
        <w:numPr>
          <w:ilvl w:val="0"/>
          <w:numId w:val="21"/>
        </w:numPr>
        <w:autoSpaceDE w:val="0"/>
        <w:autoSpaceDN w:val="0"/>
        <w:adjustRightInd w:val="0"/>
        <w:spacing w:line="240" w:lineRule="auto"/>
        <w:ind w:left="714" w:hanging="357"/>
        <w:rPr>
          <w:rFonts w:ascii="Tahoma" w:hAnsi="Tahoma" w:cs="Tahoma"/>
          <w:sz w:val="22"/>
          <w:szCs w:val="22"/>
        </w:rPr>
      </w:pPr>
      <w:r w:rsidRPr="00DF0C92">
        <w:rPr>
          <w:rFonts w:ascii="Tahoma" w:hAnsi="Tahoma" w:cs="Tahoma"/>
          <w:sz w:val="22"/>
          <w:szCs w:val="22"/>
        </w:rPr>
        <w:t xml:space="preserve">The acquisition by OTE S.A. of ownshares, pursuant to article 16 of C.L.2190/1920. </w:t>
      </w:r>
    </w:p>
    <w:p w:rsidR="00DF0C92" w:rsidRDefault="00DF0C92" w:rsidP="00DF0C92">
      <w:pPr>
        <w:spacing w:after="120"/>
        <w:ind w:right="45"/>
        <w:jc w:val="both"/>
        <w:rPr>
          <w:rFonts w:ascii="Tahoma" w:hAnsi="Tahoma" w:cs="Tahoma"/>
          <w:iCs/>
          <w:sz w:val="22"/>
          <w:szCs w:val="22"/>
        </w:rPr>
      </w:pPr>
    </w:p>
    <w:p w:rsidR="005E4AB6" w:rsidRPr="00DF0C92" w:rsidRDefault="005E4AB6" w:rsidP="00DF0C92">
      <w:pPr>
        <w:spacing w:after="120"/>
        <w:ind w:right="45"/>
        <w:jc w:val="both"/>
        <w:rPr>
          <w:rFonts w:ascii="Tahoma" w:hAnsi="Tahoma" w:cs="Tahoma"/>
          <w:iCs/>
          <w:sz w:val="22"/>
          <w:szCs w:val="22"/>
        </w:rPr>
      </w:pPr>
    </w:p>
    <w:p w:rsidR="00C72187" w:rsidRDefault="00DF0C92" w:rsidP="00DF0C92">
      <w:pPr>
        <w:spacing w:after="120"/>
        <w:ind w:right="45"/>
        <w:jc w:val="both"/>
        <w:rPr>
          <w:rFonts w:ascii="Tahoma" w:hAnsi="Tahoma" w:cs="Tahoma"/>
          <w:sz w:val="22"/>
          <w:szCs w:val="22"/>
        </w:rPr>
      </w:pPr>
      <w:r w:rsidRPr="00DF0C92">
        <w:rPr>
          <w:rFonts w:ascii="Tahoma" w:hAnsi="Tahoma" w:cs="Tahoma"/>
          <w:sz w:val="22"/>
          <w:szCs w:val="22"/>
        </w:rPr>
        <w:lastRenderedPageBreak/>
        <w:t xml:space="preserve">The Ordinary General Meeting of Shareholders also elected, pursuant to the </w:t>
      </w:r>
      <w:r w:rsidR="00C72187">
        <w:rPr>
          <w:rFonts w:ascii="Tahoma" w:hAnsi="Tahoma" w:cs="Tahoma"/>
          <w:sz w:val="22"/>
          <w:szCs w:val="22"/>
        </w:rPr>
        <w:t xml:space="preserve">provisions of the law and </w:t>
      </w:r>
      <w:r w:rsidRPr="00DF0C92">
        <w:rPr>
          <w:rFonts w:ascii="Tahoma" w:hAnsi="Tahoma" w:cs="Tahoma"/>
          <w:sz w:val="22"/>
          <w:szCs w:val="22"/>
        </w:rPr>
        <w:t xml:space="preserve">the </w:t>
      </w:r>
      <w:r w:rsidR="001131ED">
        <w:rPr>
          <w:rFonts w:ascii="Tahoma" w:hAnsi="Tahoma" w:cs="Tahoma"/>
          <w:sz w:val="22"/>
          <w:szCs w:val="22"/>
        </w:rPr>
        <w:t>C</w:t>
      </w:r>
      <w:r w:rsidRPr="00DF0C92">
        <w:rPr>
          <w:rFonts w:ascii="Tahoma" w:hAnsi="Tahoma" w:cs="Tahoma"/>
          <w:sz w:val="22"/>
          <w:szCs w:val="22"/>
        </w:rPr>
        <w:t xml:space="preserve">ompany’s Articles of Incorporation a new eleven-member Board of Directors for a three year term, due to the termination of tenure of the existing Board of Directors, and appointed the independent members of the </w:t>
      </w:r>
      <w:r w:rsidRPr="00DF0C92">
        <w:rPr>
          <w:rFonts w:ascii="Tahoma" w:hAnsi="Tahoma" w:cs="Tahoma"/>
          <w:sz w:val="22"/>
          <w:szCs w:val="22"/>
          <w:lang w:eastAsia="el-GR"/>
        </w:rPr>
        <w:t>Board</w:t>
      </w:r>
      <w:r w:rsidRPr="00DF0C92">
        <w:rPr>
          <w:rFonts w:ascii="Tahoma" w:hAnsi="Tahoma" w:cs="Tahoma"/>
          <w:sz w:val="22"/>
          <w:szCs w:val="22"/>
        </w:rPr>
        <w:t xml:space="preserve"> of Directors. </w:t>
      </w:r>
    </w:p>
    <w:p w:rsidR="00DF0C92" w:rsidRPr="00DF0C92" w:rsidRDefault="00DF0C92" w:rsidP="00DF0C92">
      <w:pPr>
        <w:spacing w:after="120"/>
        <w:ind w:right="45"/>
        <w:jc w:val="both"/>
        <w:rPr>
          <w:rFonts w:ascii="Tahoma" w:hAnsi="Tahoma" w:cs="Tahoma"/>
          <w:sz w:val="22"/>
          <w:szCs w:val="22"/>
        </w:rPr>
      </w:pPr>
    </w:p>
    <w:p w:rsidR="00A066BF" w:rsidRPr="00DF0C92" w:rsidRDefault="00DF0C92" w:rsidP="00A066BF">
      <w:pPr>
        <w:jc w:val="both"/>
        <w:rPr>
          <w:rFonts w:ascii="Tahoma" w:hAnsi="Tahoma" w:cs="Tahoma"/>
          <w:bCs/>
          <w:sz w:val="22"/>
          <w:szCs w:val="22"/>
        </w:rPr>
      </w:pPr>
      <w:r w:rsidRPr="00DF0C92">
        <w:rPr>
          <w:rFonts w:ascii="Tahoma" w:hAnsi="Tahoma" w:cs="Tahoma"/>
          <w:sz w:val="22"/>
          <w:szCs w:val="22"/>
        </w:rPr>
        <w:t>Following the conclusion of the Ordinary General Meeting of Shareholders, ΟΤΕ’s Board of Directors formed into a body corporate</w:t>
      </w:r>
      <w:r w:rsidR="009D5D32">
        <w:rPr>
          <w:rFonts w:ascii="Tahoma" w:hAnsi="Tahoma" w:cs="Tahoma"/>
          <w:sz w:val="22"/>
          <w:szCs w:val="22"/>
        </w:rPr>
        <w:t>, pursuant to the article 10 par.1 of the Company’s Articles of Incorporation</w:t>
      </w:r>
      <w:r w:rsidRPr="00DF0C92">
        <w:rPr>
          <w:rFonts w:ascii="Tahoma" w:hAnsi="Tahoma" w:cs="Tahoma"/>
          <w:sz w:val="22"/>
          <w:szCs w:val="22"/>
        </w:rPr>
        <w:t xml:space="preserve"> as follows: </w:t>
      </w:r>
      <w:r w:rsidR="00EA1CE1">
        <w:rPr>
          <w:rFonts w:ascii="Tahoma" w:hAnsi="Tahoma" w:cs="Tahoma"/>
          <w:color w:val="000000"/>
          <w:sz w:val="22"/>
          <w:szCs w:val="22"/>
          <w:lang w:val="en-GB"/>
        </w:rPr>
        <w:t xml:space="preserve">Chairman and CEO - </w:t>
      </w:r>
      <w:r w:rsidR="002B1E8E">
        <w:rPr>
          <w:rFonts w:ascii="Tahoma" w:hAnsi="Tahoma" w:cs="Tahoma"/>
          <w:color w:val="000000"/>
          <w:sz w:val="22"/>
          <w:szCs w:val="22"/>
        </w:rPr>
        <w:t>E</w:t>
      </w:r>
      <w:r w:rsidR="009D5D32" w:rsidRPr="00DF0C92">
        <w:rPr>
          <w:rFonts w:ascii="Tahoma" w:hAnsi="Tahoma" w:cs="Tahoma"/>
          <w:sz w:val="22"/>
          <w:szCs w:val="22"/>
          <w:lang w:val="en-GB"/>
        </w:rPr>
        <w:t>xecutive member</w:t>
      </w:r>
      <w:r w:rsidR="00EA1CE1">
        <w:rPr>
          <w:rFonts w:ascii="Tahoma" w:hAnsi="Tahoma" w:cs="Tahoma"/>
          <w:sz w:val="22"/>
          <w:szCs w:val="22"/>
          <w:lang w:val="en-GB"/>
        </w:rPr>
        <w:t xml:space="preserve"> Mr </w:t>
      </w:r>
      <w:r w:rsidR="00EA1CE1" w:rsidRPr="00DF0C92">
        <w:rPr>
          <w:rFonts w:ascii="Tahoma" w:hAnsi="Tahoma" w:cs="Tahoma"/>
          <w:color w:val="000000"/>
          <w:sz w:val="22"/>
          <w:szCs w:val="22"/>
        </w:rPr>
        <w:t>Michael Tsamaz</w:t>
      </w:r>
      <w:r w:rsidR="00EA1CE1">
        <w:rPr>
          <w:rFonts w:ascii="Tahoma" w:hAnsi="Tahoma" w:cs="Tahoma"/>
          <w:color w:val="000000"/>
          <w:sz w:val="22"/>
          <w:szCs w:val="22"/>
        </w:rPr>
        <w:t xml:space="preserve">, </w:t>
      </w:r>
      <w:r w:rsidR="00EA1CE1">
        <w:rPr>
          <w:rFonts w:ascii="Tahoma" w:hAnsi="Tahoma" w:cs="Tahoma"/>
          <w:color w:val="000000"/>
          <w:sz w:val="22"/>
          <w:szCs w:val="22"/>
          <w:lang w:val="en-GB"/>
        </w:rPr>
        <w:t xml:space="preserve">Vice-Chairman </w:t>
      </w:r>
      <w:r w:rsidR="001131ED">
        <w:rPr>
          <w:rFonts w:ascii="Tahoma" w:hAnsi="Tahoma" w:cs="Tahoma"/>
          <w:color w:val="000000"/>
          <w:sz w:val="22"/>
          <w:szCs w:val="22"/>
          <w:lang w:val="en-GB"/>
        </w:rPr>
        <w:t>–</w:t>
      </w:r>
      <w:r w:rsidR="00EA1CE1">
        <w:rPr>
          <w:rFonts w:ascii="Tahoma" w:hAnsi="Tahoma" w:cs="Tahoma"/>
          <w:color w:val="000000"/>
          <w:sz w:val="22"/>
          <w:szCs w:val="22"/>
          <w:lang w:val="en-GB"/>
        </w:rPr>
        <w:t xml:space="preserve"> </w:t>
      </w:r>
      <w:r w:rsidR="001131ED">
        <w:rPr>
          <w:rFonts w:ascii="Tahoma" w:hAnsi="Tahoma" w:cs="Tahoma"/>
          <w:color w:val="000000"/>
          <w:sz w:val="22"/>
          <w:szCs w:val="22"/>
          <w:lang w:val="en-GB"/>
        </w:rPr>
        <w:t xml:space="preserve">Independent </w:t>
      </w:r>
      <w:r w:rsidR="002B1E8E">
        <w:rPr>
          <w:rFonts w:ascii="Tahoma" w:hAnsi="Tahoma" w:cs="Tahoma"/>
          <w:color w:val="000000"/>
          <w:sz w:val="22"/>
          <w:szCs w:val="22"/>
          <w:lang w:val="en-GB"/>
        </w:rPr>
        <w:t>N</w:t>
      </w:r>
      <w:r w:rsidR="00EA1CE1" w:rsidRPr="00DF0C92">
        <w:rPr>
          <w:rFonts w:ascii="Tahoma" w:hAnsi="Tahoma" w:cs="Tahoma"/>
          <w:color w:val="000000"/>
          <w:sz w:val="22"/>
          <w:szCs w:val="22"/>
          <w:lang w:val="en-GB"/>
        </w:rPr>
        <w:t>on-e</w:t>
      </w:r>
      <w:r w:rsidR="00EA1CE1" w:rsidRPr="00DF0C92">
        <w:rPr>
          <w:rFonts w:ascii="Tahoma" w:hAnsi="Tahoma" w:cs="Tahoma"/>
          <w:sz w:val="22"/>
          <w:szCs w:val="22"/>
          <w:lang w:val="en-GB"/>
        </w:rPr>
        <w:t>xecutive member</w:t>
      </w:r>
      <w:r w:rsidR="00EA1CE1">
        <w:rPr>
          <w:rFonts w:ascii="Tahoma" w:hAnsi="Tahoma" w:cs="Tahoma"/>
          <w:sz w:val="22"/>
          <w:szCs w:val="22"/>
          <w:lang w:val="en-GB"/>
        </w:rPr>
        <w:t xml:space="preserve"> Mr </w:t>
      </w:r>
      <w:r w:rsidR="00EA1CE1" w:rsidRPr="00DF0C92">
        <w:rPr>
          <w:rFonts w:ascii="Tahoma" w:eastAsia="Calibri" w:hAnsi="Tahoma" w:cs="Tahoma"/>
          <w:sz w:val="22"/>
          <w:szCs w:val="22"/>
        </w:rPr>
        <w:t>Konstantinos Christopoulos</w:t>
      </w:r>
      <w:r w:rsidR="00EA1CE1">
        <w:rPr>
          <w:rFonts w:ascii="Tahoma" w:eastAsia="Calibri" w:hAnsi="Tahoma" w:cs="Tahoma"/>
          <w:sz w:val="22"/>
          <w:szCs w:val="22"/>
        </w:rPr>
        <w:t xml:space="preserve">, </w:t>
      </w:r>
      <w:r w:rsidR="00EA1CE1" w:rsidRPr="00DF0C92">
        <w:rPr>
          <w:rFonts w:ascii="Tahoma" w:hAnsi="Tahoma" w:cs="Tahoma"/>
          <w:sz w:val="22"/>
          <w:szCs w:val="22"/>
          <w:lang w:val="en-GB"/>
        </w:rPr>
        <w:t>Executive member</w:t>
      </w:r>
      <w:r w:rsidR="00EA1CE1">
        <w:rPr>
          <w:rFonts w:ascii="Tahoma" w:hAnsi="Tahoma" w:cs="Tahoma"/>
          <w:sz w:val="22"/>
          <w:szCs w:val="22"/>
          <w:lang w:val="en-GB"/>
        </w:rPr>
        <w:t xml:space="preserve"> Mr Charalamp</w:t>
      </w:r>
      <w:r w:rsidR="00EA1CE1" w:rsidRPr="00DF0C92">
        <w:rPr>
          <w:rFonts w:ascii="Tahoma" w:hAnsi="Tahoma" w:cs="Tahoma"/>
          <w:sz w:val="22"/>
          <w:szCs w:val="22"/>
          <w:lang w:val="en-GB"/>
        </w:rPr>
        <w:t>os Mazarakis</w:t>
      </w:r>
      <w:r w:rsidR="00EA1CE1">
        <w:rPr>
          <w:rFonts w:ascii="Tahoma" w:hAnsi="Tahoma" w:cs="Tahoma"/>
          <w:sz w:val="22"/>
          <w:szCs w:val="22"/>
          <w:lang w:val="en-GB"/>
        </w:rPr>
        <w:t xml:space="preserve">, </w:t>
      </w:r>
      <w:r w:rsidR="002B1E8E">
        <w:rPr>
          <w:rFonts w:ascii="Tahoma" w:hAnsi="Tahoma" w:cs="Tahoma"/>
          <w:sz w:val="22"/>
          <w:szCs w:val="22"/>
          <w:lang w:val="en-GB"/>
        </w:rPr>
        <w:t>N</w:t>
      </w:r>
      <w:r w:rsidR="00EA1CE1">
        <w:rPr>
          <w:rFonts w:ascii="Tahoma" w:hAnsi="Tahoma" w:cs="Tahoma"/>
          <w:sz w:val="22"/>
          <w:szCs w:val="22"/>
          <w:lang w:val="en-GB"/>
        </w:rPr>
        <w:t xml:space="preserve">on-executive members </w:t>
      </w:r>
      <w:r w:rsidR="001131ED">
        <w:rPr>
          <w:rFonts w:ascii="Tahoma" w:hAnsi="Tahoma" w:cs="Tahoma"/>
          <w:sz w:val="22"/>
          <w:szCs w:val="22"/>
          <w:lang w:val="en-GB"/>
        </w:rPr>
        <w:t xml:space="preserve">Mrs </w:t>
      </w:r>
      <w:r w:rsidR="002D6540" w:rsidRPr="00DF0C92">
        <w:rPr>
          <w:rFonts w:ascii="Tahoma" w:hAnsi="Tahoma" w:cs="Tahoma"/>
          <w:sz w:val="22"/>
          <w:szCs w:val="22"/>
        </w:rPr>
        <w:t>Claudia Nemat</w:t>
      </w:r>
      <w:r w:rsidR="002D6540">
        <w:rPr>
          <w:rFonts w:ascii="Tahoma" w:hAnsi="Tahoma" w:cs="Tahoma"/>
          <w:sz w:val="22"/>
          <w:szCs w:val="22"/>
        </w:rPr>
        <w:t xml:space="preserve"> </w:t>
      </w:r>
      <w:r w:rsidR="001131ED">
        <w:rPr>
          <w:rFonts w:ascii="Tahoma" w:hAnsi="Tahoma" w:cs="Tahoma"/>
          <w:sz w:val="22"/>
          <w:szCs w:val="22"/>
        </w:rPr>
        <w:t xml:space="preserve">and Messers </w:t>
      </w:r>
      <w:r w:rsidR="002D6540" w:rsidRPr="00DF0C92">
        <w:rPr>
          <w:rFonts w:ascii="Tahoma" w:hAnsi="Tahoma" w:cs="Tahoma"/>
          <w:bCs/>
          <w:sz w:val="22"/>
          <w:szCs w:val="22"/>
        </w:rPr>
        <w:t>Klaus Müller</w:t>
      </w:r>
      <w:r w:rsidR="002D6540">
        <w:rPr>
          <w:rFonts w:ascii="Tahoma" w:hAnsi="Tahoma" w:cs="Tahoma"/>
          <w:bCs/>
          <w:sz w:val="22"/>
          <w:szCs w:val="22"/>
        </w:rPr>
        <w:t xml:space="preserve">, </w:t>
      </w:r>
      <w:r w:rsidR="00A066BF" w:rsidRPr="00DF0C92">
        <w:rPr>
          <w:rFonts w:ascii="Tahoma" w:hAnsi="Tahoma" w:cs="Tahoma"/>
          <w:bCs/>
          <w:sz w:val="22"/>
          <w:szCs w:val="22"/>
        </w:rPr>
        <w:t>Raphael Kübler</w:t>
      </w:r>
      <w:r w:rsidR="00A066BF">
        <w:rPr>
          <w:rFonts w:ascii="Tahoma" w:hAnsi="Tahoma" w:cs="Tahoma"/>
          <w:bCs/>
          <w:sz w:val="22"/>
          <w:szCs w:val="22"/>
        </w:rPr>
        <w:t xml:space="preserve">, </w:t>
      </w:r>
      <w:r w:rsidR="00A066BF" w:rsidRPr="00DF0C92">
        <w:rPr>
          <w:rFonts w:ascii="Tahoma" w:eastAsia="Calibri" w:hAnsi="Tahoma" w:cs="Tahoma"/>
          <w:sz w:val="22"/>
          <w:szCs w:val="22"/>
        </w:rPr>
        <w:t>Vasileios</w:t>
      </w:r>
      <w:r w:rsidR="001131ED">
        <w:rPr>
          <w:rFonts w:ascii="Tahoma" w:eastAsia="Calibri" w:hAnsi="Tahoma" w:cs="Tahoma"/>
          <w:sz w:val="22"/>
          <w:szCs w:val="22"/>
        </w:rPr>
        <w:t xml:space="preserve"> </w:t>
      </w:r>
      <w:r w:rsidR="00A066BF" w:rsidRPr="00DF0C92">
        <w:rPr>
          <w:rFonts w:ascii="Tahoma" w:eastAsia="Calibri" w:hAnsi="Tahoma" w:cs="Tahoma"/>
          <w:sz w:val="22"/>
          <w:szCs w:val="22"/>
        </w:rPr>
        <w:t>Kafouros</w:t>
      </w:r>
      <w:r w:rsidR="00A066BF">
        <w:rPr>
          <w:rFonts w:ascii="Tahoma" w:eastAsia="Calibri" w:hAnsi="Tahoma" w:cs="Tahoma"/>
          <w:sz w:val="22"/>
          <w:szCs w:val="22"/>
        </w:rPr>
        <w:t xml:space="preserve">, </w:t>
      </w:r>
      <w:r w:rsidR="00A066BF" w:rsidRPr="00DF0C92">
        <w:rPr>
          <w:rFonts w:ascii="Tahoma" w:eastAsia="Calibri" w:hAnsi="Tahoma" w:cs="Tahoma"/>
          <w:sz w:val="22"/>
          <w:szCs w:val="22"/>
        </w:rPr>
        <w:t>Athanasios Misdanitis</w:t>
      </w:r>
      <w:r w:rsidR="00A066BF">
        <w:rPr>
          <w:rFonts w:ascii="Tahoma" w:eastAsia="Calibri" w:hAnsi="Tahoma" w:cs="Tahoma"/>
          <w:sz w:val="22"/>
          <w:szCs w:val="22"/>
        </w:rPr>
        <w:t xml:space="preserve">, </w:t>
      </w:r>
      <w:r w:rsidR="00A066BF">
        <w:rPr>
          <w:rFonts w:ascii="Tahoma" w:hAnsi="Tahoma" w:cs="Tahoma"/>
          <w:color w:val="000000"/>
          <w:sz w:val="22"/>
          <w:szCs w:val="22"/>
          <w:lang w:val="en-GB"/>
        </w:rPr>
        <w:t xml:space="preserve">Panagiotis Skevofylax and </w:t>
      </w:r>
      <w:r w:rsidR="00A066BF" w:rsidRPr="00DF0C92">
        <w:rPr>
          <w:rFonts w:ascii="Tahoma" w:hAnsi="Tahoma" w:cs="Tahoma"/>
          <w:bCs/>
          <w:sz w:val="22"/>
          <w:szCs w:val="22"/>
        </w:rPr>
        <w:t>Manousos Manousakis</w:t>
      </w:r>
      <w:r w:rsidR="00A066BF">
        <w:rPr>
          <w:rFonts w:ascii="Tahoma" w:hAnsi="Tahoma" w:cs="Tahoma"/>
          <w:bCs/>
          <w:sz w:val="22"/>
          <w:szCs w:val="22"/>
        </w:rPr>
        <w:t xml:space="preserve">, </w:t>
      </w:r>
      <w:r w:rsidR="00A066BF" w:rsidRPr="00DF0C92">
        <w:rPr>
          <w:rFonts w:ascii="Tahoma" w:hAnsi="Tahoma" w:cs="Tahoma"/>
          <w:sz w:val="22"/>
          <w:szCs w:val="22"/>
          <w:lang w:val="en-GB"/>
        </w:rPr>
        <w:t>Independent Non-executive member</w:t>
      </w:r>
      <w:r w:rsidR="00A066BF">
        <w:rPr>
          <w:rFonts w:ascii="Tahoma" w:hAnsi="Tahoma" w:cs="Tahoma"/>
          <w:sz w:val="22"/>
          <w:szCs w:val="22"/>
          <w:lang w:val="en-GB"/>
        </w:rPr>
        <w:t xml:space="preserve"> Mr </w:t>
      </w:r>
      <w:r w:rsidR="00A066BF" w:rsidRPr="00DF0C92">
        <w:rPr>
          <w:rFonts w:ascii="Tahoma" w:hAnsi="Tahoma" w:cs="Tahoma"/>
          <w:color w:val="000000"/>
          <w:sz w:val="22"/>
          <w:szCs w:val="22"/>
          <w:lang w:val="en-GB"/>
        </w:rPr>
        <w:t>Panagiotis Tabourlos</w:t>
      </w:r>
      <w:r w:rsidR="00A066BF">
        <w:rPr>
          <w:rFonts w:ascii="Tahoma" w:hAnsi="Tahoma" w:cs="Tahoma"/>
          <w:color w:val="000000"/>
          <w:sz w:val="22"/>
          <w:szCs w:val="22"/>
          <w:lang w:val="en-GB"/>
        </w:rPr>
        <w:t>.</w:t>
      </w:r>
    </w:p>
    <w:p w:rsidR="002D6540" w:rsidRPr="00DF0C92" w:rsidRDefault="002D6540" w:rsidP="002D6540">
      <w:pPr>
        <w:jc w:val="both"/>
        <w:rPr>
          <w:rFonts w:ascii="Tahoma" w:hAnsi="Tahoma" w:cs="Tahoma"/>
          <w:bCs/>
          <w:sz w:val="22"/>
          <w:szCs w:val="22"/>
        </w:rPr>
      </w:pPr>
    </w:p>
    <w:p w:rsidR="006A6AE7" w:rsidRDefault="006A6AE7" w:rsidP="006A6AE7">
      <w:pPr>
        <w:autoSpaceDE w:val="0"/>
        <w:autoSpaceDN w:val="0"/>
        <w:adjustRightInd w:val="0"/>
        <w:jc w:val="both"/>
        <w:rPr>
          <w:rFonts w:ascii="Tahoma" w:hAnsi="Tahoma" w:cs="Tahoma"/>
          <w:sz w:val="22"/>
          <w:szCs w:val="22"/>
          <w:lang w:eastAsia="el-GR"/>
        </w:rPr>
      </w:pPr>
    </w:p>
    <w:p w:rsidR="00C72187" w:rsidRPr="007E24A1" w:rsidRDefault="00C72187" w:rsidP="007E24A1">
      <w:pPr>
        <w:tabs>
          <w:tab w:val="num" w:pos="709"/>
        </w:tabs>
        <w:spacing w:after="120"/>
        <w:ind w:right="44"/>
        <w:jc w:val="both"/>
        <w:rPr>
          <w:rFonts w:ascii="Bookman Old Style" w:hAnsi="Bookman Old Style" w:cs="Arial"/>
          <w:iCs/>
          <w:sz w:val="24"/>
          <w:szCs w:val="24"/>
        </w:rPr>
      </w:pPr>
      <w:r w:rsidRPr="007E24A1">
        <w:rPr>
          <w:rFonts w:ascii="Tahoma" w:hAnsi="Tahoma" w:cs="Tahoma"/>
          <w:sz w:val="22"/>
          <w:szCs w:val="22"/>
          <w:lang w:eastAsia="el-GR"/>
        </w:rPr>
        <w:t>Mr. Panagiotis Skevofylax</w:t>
      </w:r>
      <w:r>
        <w:rPr>
          <w:rFonts w:ascii="Tahoma" w:hAnsi="Tahoma" w:cs="Tahoma"/>
          <w:sz w:val="22"/>
          <w:szCs w:val="22"/>
          <w:lang w:eastAsia="el-GR"/>
        </w:rPr>
        <w:t xml:space="preserve">, who is elected member of the Board of Directors of OTE SA for the first time, </w:t>
      </w:r>
      <w:r w:rsidRPr="007E24A1">
        <w:rPr>
          <w:rFonts w:ascii="Tahoma" w:hAnsi="Tahoma" w:cs="Tahoma"/>
          <w:sz w:val="22"/>
          <w:szCs w:val="22"/>
          <w:lang w:eastAsia="el-GR"/>
        </w:rPr>
        <w:t xml:space="preserve"> holds an MA in Media &amp; Communications from City University of London (specialization in Political Economy of Media &amp; Communications), and two MScs from the National and Kapodestrian University of Athens</w:t>
      </w:r>
      <w:r w:rsidR="005E4AB6">
        <w:rPr>
          <w:rFonts w:ascii="Tahoma" w:hAnsi="Tahoma" w:cs="Tahoma"/>
          <w:sz w:val="22"/>
          <w:szCs w:val="22"/>
          <w:lang w:eastAsia="el-GR"/>
        </w:rPr>
        <w:t xml:space="preserve"> </w:t>
      </w:r>
      <w:r w:rsidRPr="007E24A1">
        <w:rPr>
          <w:rFonts w:ascii="Tahoma" w:hAnsi="Tahoma" w:cs="Tahoma"/>
          <w:sz w:val="22"/>
          <w:szCs w:val="22"/>
          <w:lang w:eastAsia="el-GR"/>
        </w:rPr>
        <w:t>in Political Science &amp; Sociology (specialization in Political Analysis) and in European &amp; International Studies (specialization in European Affairs) respectively. Mr. Skevofylax has worked as a consultant in the fields of Strategy and Communications (political and policy analysis, political consulting and coaching, political campaigning, integrated communications planning etc).</w:t>
      </w:r>
    </w:p>
    <w:p w:rsidR="00E62379" w:rsidRDefault="00E62379" w:rsidP="00771B95">
      <w:pPr>
        <w:tabs>
          <w:tab w:val="left" w:pos="851"/>
        </w:tabs>
        <w:spacing w:after="120"/>
        <w:ind w:right="44"/>
        <w:rPr>
          <w:rFonts w:ascii="Tahoma" w:hAnsi="Tahoma" w:cs="Tahoma"/>
          <w:iCs/>
          <w:color w:val="000000"/>
          <w:sz w:val="22"/>
          <w:szCs w:val="22"/>
        </w:rPr>
      </w:pPr>
    </w:p>
    <w:p w:rsidR="00A066BF" w:rsidRPr="00DF0C92" w:rsidRDefault="009D5D32" w:rsidP="00A066BF">
      <w:pPr>
        <w:jc w:val="both"/>
        <w:rPr>
          <w:rFonts w:ascii="Tahoma" w:hAnsi="Tahoma" w:cs="Tahoma"/>
          <w:bCs/>
          <w:sz w:val="22"/>
          <w:szCs w:val="22"/>
        </w:rPr>
      </w:pPr>
      <w:r w:rsidRPr="00A6720D">
        <w:rPr>
          <w:rFonts w:ascii="Tahoma" w:hAnsi="Tahoma" w:cs="Tahoma"/>
          <w:sz w:val="22"/>
          <w:szCs w:val="22"/>
          <w:lang w:eastAsia="el-GR"/>
        </w:rPr>
        <w:t xml:space="preserve">The General </w:t>
      </w:r>
      <w:r>
        <w:rPr>
          <w:rFonts w:ascii="Tahoma" w:hAnsi="Tahoma" w:cs="Tahoma"/>
          <w:sz w:val="22"/>
          <w:szCs w:val="22"/>
          <w:lang w:eastAsia="el-GR"/>
        </w:rPr>
        <w:t>Meeting</w:t>
      </w:r>
      <w:r w:rsidRPr="00A6720D">
        <w:rPr>
          <w:rFonts w:ascii="Tahoma" w:hAnsi="Tahoma" w:cs="Tahoma"/>
          <w:sz w:val="22"/>
          <w:szCs w:val="22"/>
          <w:lang w:eastAsia="el-GR"/>
        </w:rPr>
        <w:t xml:space="preserve"> of Shareholders also appointed as</w:t>
      </w:r>
      <w:r w:rsidR="00A066BF">
        <w:rPr>
          <w:rFonts w:ascii="Tahoma" w:hAnsi="Tahoma" w:cs="Tahoma"/>
          <w:sz w:val="22"/>
          <w:szCs w:val="22"/>
          <w:lang w:eastAsia="el-GR"/>
        </w:rPr>
        <w:t xml:space="preserve"> members of the Audit Committee</w:t>
      </w:r>
      <w:r w:rsidR="0051087B">
        <w:rPr>
          <w:rFonts w:ascii="Tahoma" w:hAnsi="Tahoma" w:cs="Tahoma"/>
          <w:sz w:val="22"/>
          <w:szCs w:val="22"/>
          <w:lang w:eastAsia="el-GR"/>
        </w:rPr>
        <w:t xml:space="preserve"> </w:t>
      </w:r>
      <w:r w:rsidR="00A066BF">
        <w:rPr>
          <w:rFonts w:ascii="Tahoma" w:hAnsi="Tahoma" w:cs="Tahoma"/>
          <w:sz w:val="22"/>
          <w:szCs w:val="22"/>
          <w:lang w:val="en-GB"/>
        </w:rPr>
        <w:t>Messers</w:t>
      </w:r>
      <w:r w:rsidR="0051087B">
        <w:rPr>
          <w:rFonts w:ascii="Tahoma" w:hAnsi="Tahoma" w:cs="Tahoma"/>
          <w:sz w:val="22"/>
          <w:szCs w:val="22"/>
          <w:lang w:val="en-GB"/>
        </w:rPr>
        <w:t xml:space="preserve"> </w:t>
      </w:r>
      <w:r w:rsidR="00A066BF" w:rsidRPr="00DF0C92">
        <w:rPr>
          <w:rFonts w:ascii="Tahoma" w:hAnsi="Tahoma" w:cs="Tahoma"/>
          <w:color w:val="000000"/>
          <w:sz w:val="22"/>
          <w:szCs w:val="22"/>
          <w:lang w:val="en-GB"/>
        </w:rPr>
        <w:t>Panagiotis Tabourlos</w:t>
      </w:r>
      <w:r w:rsidR="00A066BF">
        <w:rPr>
          <w:rFonts w:ascii="Tahoma" w:hAnsi="Tahoma" w:cs="Tahoma"/>
          <w:color w:val="000000"/>
          <w:sz w:val="22"/>
          <w:szCs w:val="22"/>
          <w:lang w:val="en-GB"/>
        </w:rPr>
        <w:t xml:space="preserve">, </w:t>
      </w:r>
      <w:r w:rsidR="00A066BF" w:rsidRPr="00DF0C92">
        <w:rPr>
          <w:rFonts w:ascii="Tahoma" w:eastAsia="Calibri" w:hAnsi="Tahoma" w:cs="Tahoma"/>
          <w:sz w:val="22"/>
          <w:szCs w:val="22"/>
        </w:rPr>
        <w:t>Konstantinos Christopoulos</w:t>
      </w:r>
      <w:r w:rsidR="00A066BF">
        <w:rPr>
          <w:rFonts w:ascii="Tahoma" w:eastAsia="Calibri" w:hAnsi="Tahoma" w:cs="Tahoma"/>
          <w:sz w:val="22"/>
          <w:szCs w:val="22"/>
        </w:rPr>
        <w:t xml:space="preserve">, </w:t>
      </w:r>
      <w:r w:rsidR="00A066BF" w:rsidRPr="00DF0C92">
        <w:rPr>
          <w:rFonts w:ascii="Tahoma" w:eastAsia="Calibri" w:hAnsi="Tahoma" w:cs="Tahoma"/>
          <w:sz w:val="22"/>
          <w:szCs w:val="22"/>
        </w:rPr>
        <w:t>Athanasios Misdanitis</w:t>
      </w:r>
      <w:r w:rsidR="00A066BF">
        <w:rPr>
          <w:rFonts w:ascii="Tahoma" w:eastAsia="Calibri" w:hAnsi="Tahoma" w:cs="Tahoma"/>
          <w:sz w:val="22"/>
          <w:szCs w:val="22"/>
        </w:rPr>
        <w:t xml:space="preserve"> and </w:t>
      </w:r>
      <w:r w:rsidR="00A066BF" w:rsidRPr="00DF0C92">
        <w:rPr>
          <w:rFonts w:ascii="Tahoma" w:hAnsi="Tahoma" w:cs="Tahoma"/>
          <w:bCs/>
          <w:sz w:val="22"/>
          <w:szCs w:val="22"/>
        </w:rPr>
        <w:t>Raphael Kübler</w:t>
      </w:r>
      <w:r w:rsidR="00A066BF">
        <w:rPr>
          <w:rFonts w:ascii="Tahoma" w:hAnsi="Tahoma" w:cs="Tahoma"/>
          <w:bCs/>
          <w:sz w:val="22"/>
          <w:szCs w:val="22"/>
        </w:rPr>
        <w:t>.</w:t>
      </w:r>
    </w:p>
    <w:p w:rsidR="00A066BF" w:rsidRPr="00DF0C92" w:rsidRDefault="00A066BF" w:rsidP="00A066BF">
      <w:pPr>
        <w:jc w:val="both"/>
        <w:rPr>
          <w:rFonts w:ascii="Tahoma" w:hAnsi="Tahoma" w:cs="Tahoma"/>
          <w:bCs/>
          <w:sz w:val="22"/>
          <w:szCs w:val="22"/>
        </w:rPr>
      </w:pPr>
    </w:p>
    <w:p w:rsidR="00AD3FFB" w:rsidRDefault="00AD3FFB" w:rsidP="00D72011">
      <w:pPr>
        <w:jc w:val="both"/>
        <w:rPr>
          <w:rFonts w:ascii="Tahoma" w:hAnsi="Tahoma" w:cs="Tahoma"/>
          <w:sz w:val="22"/>
          <w:szCs w:val="22"/>
        </w:rPr>
      </w:pPr>
    </w:p>
    <w:p w:rsidR="009D5D32" w:rsidRDefault="009D5D32" w:rsidP="00771B95">
      <w:pPr>
        <w:tabs>
          <w:tab w:val="left" w:pos="851"/>
        </w:tabs>
        <w:spacing w:after="120"/>
        <w:ind w:right="44"/>
        <w:rPr>
          <w:rFonts w:ascii="Tahoma" w:hAnsi="Tahoma" w:cs="Tahoma"/>
          <w:iCs/>
          <w:color w:val="000000"/>
          <w:sz w:val="22"/>
          <w:szCs w:val="22"/>
        </w:rPr>
      </w:pPr>
    </w:p>
    <w:p w:rsidR="009D5D32" w:rsidRPr="00771B95" w:rsidRDefault="009D5D32" w:rsidP="00771B95">
      <w:pPr>
        <w:tabs>
          <w:tab w:val="left" w:pos="851"/>
        </w:tabs>
        <w:spacing w:after="120"/>
        <w:ind w:right="44"/>
        <w:rPr>
          <w:rFonts w:ascii="Tahoma" w:hAnsi="Tahoma" w:cs="Tahoma"/>
          <w:iCs/>
          <w:color w:val="000000"/>
          <w:sz w:val="22"/>
          <w:szCs w:val="22"/>
        </w:rPr>
      </w:pPr>
    </w:p>
    <w:p w:rsidR="00DB5540" w:rsidRPr="003B56A2" w:rsidRDefault="00DB5540" w:rsidP="00DB5540">
      <w:pPr>
        <w:pStyle w:val="PRContact"/>
        <w:pBdr>
          <w:top w:val="single" w:sz="4" w:space="1" w:color="000080"/>
        </w:pBdr>
        <w:tabs>
          <w:tab w:val="clear" w:pos="3600"/>
          <w:tab w:val="clear" w:pos="5040"/>
          <w:tab w:val="left" w:pos="567"/>
        </w:tabs>
        <w:suppressAutoHyphens w:val="0"/>
        <w:jc w:val="both"/>
        <w:rPr>
          <w:rFonts w:ascii="Tahoma" w:hAnsi="Tahoma" w:cs="Tahoma"/>
          <w:b/>
          <w:bCs/>
          <w:color w:val="FF0000"/>
          <w:sz w:val="6"/>
        </w:rPr>
      </w:pPr>
    </w:p>
    <w:p w:rsidR="00DB5540" w:rsidRPr="00471D20" w:rsidRDefault="00DB5540" w:rsidP="00DB5540">
      <w:pPr>
        <w:pStyle w:val="PRContact"/>
        <w:pBdr>
          <w:bottom w:val="single" w:sz="4" w:space="1" w:color="000080"/>
        </w:pBdr>
        <w:tabs>
          <w:tab w:val="left" w:pos="1985"/>
          <w:tab w:val="left" w:pos="4678"/>
        </w:tabs>
        <w:rPr>
          <w:rFonts w:ascii="Tahoma" w:hAnsi="Tahoma" w:cs="Tahoma"/>
          <w:b/>
          <w:bCs/>
          <w:color w:val="000000"/>
          <w:sz w:val="20"/>
        </w:rPr>
      </w:pPr>
      <w:r w:rsidRPr="003B56A2">
        <w:rPr>
          <w:rFonts w:ascii="Tahoma" w:hAnsi="Tahoma" w:cs="Tahoma"/>
          <w:b/>
          <w:bCs/>
          <w:color w:val="000000"/>
          <w:sz w:val="20"/>
        </w:rPr>
        <w:t>About OTE</w:t>
      </w:r>
    </w:p>
    <w:p w:rsidR="006A6AE7" w:rsidRPr="007A5DAD" w:rsidRDefault="006A6AE7" w:rsidP="006A6AE7">
      <w:pPr>
        <w:pStyle w:val="PRContact"/>
        <w:pBdr>
          <w:bottom w:val="single" w:sz="4" w:space="1" w:color="000080"/>
        </w:pBdr>
        <w:tabs>
          <w:tab w:val="left" w:pos="1985"/>
          <w:tab w:val="left" w:pos="4678"/>
        </w:tabs>
        <w:jc w:val="both"/>
        <w:rPr>
          <w:rFonts w:ascii="Tahoma" w:hAnsi="Tahoma" w:cs="Tahoma"/>
          <w:color w:val="000000"/>
          <w:sz w:val="20"/>
          <w:lang w:eastAsia="el-GR"/>
        </w:rPr>
      </w:pPr>
      <w:r w:rsidRPr="007A5DAD">
        <w:rPr>
          <w:rFonts w:ascii="Tahoma" w:hAnsi="Tahoma" w:cs="Tahoma"/>
          <w:color w:val="000000"/>
          <w:sz w:val="20"/>
          <w:lang w:eastAsia="el-GR"/>
        </w:rPr>
        <w:t xml:space="preserve">OTE Group is Greece's leading telecommunications organization and one of the pre-eminent players in Southeastern Europe, providing top-quality products and services to its customers. </w:t>
      </w:r>
    </w:p>
    <w:p w:rsidR="006A6AE7" w:rsidRPr="007A5DAD" w:rsidRDefault="006A6AE7" w:rsidP="006A6AE7">
      <w:pPr>
        <w:pStyle w:val="PRContact"/>
        <w:pBdr>
          <w:bottom w:val="single" w:sz="4" w:space="1" w:color="000080"/>
        </w:pBdr>
        <w:tabs>
          <w:tab w:val="left" w:pos="1985"/>
          <w:tab w:val="left" w:pos="4678"/>
        </w:tabs>
        <w:jc w:val="both"/>
        <w:rPr>
          <w:rFonts w:ascii="Tahoma" w:hAnsi="Tahoma" w:cs="Tahoma"/>
          <w:color w:val="000000"/>
          <w:sz w:val="20"/>
          <w:lang w:eastAsia="el-GR"/>
        </w:rPr>
      </w:pPr>
      <w:r w:rsidRPr="007A5DAD">
        <w:rPr>
          <w:rFonts w:ascii="Tahoma" w:hAnsi="Tahoma" w:cs="Tahoma"/>
          <w:color w:val="000000"/>
          <w:sz w:val="20"/>
          <w:lang w:eastAsia="el-GR"/>
        </w:rPr>
        <w:t xml:space="preserve">Consisting of the parent company OTE S.A. and its subsidiaries, the Group offers fixed-line (voice, broadband, data and leased lines), TV, ICT services and mobile telephony services in Greece and Romania, as well as mobile telephony services in Albania. The Group is also involved in a range of activities in Greece, notably in real-estate and professional training. </w:t>
      </w:r>
    </w:p>
    <w:p w:rsidR="006A6AE7" w:rsidRPr="007A5DAD" w:rsidRDefault="006A6AE7" w:rsidP="006A6AE7">
      <w:pPr>
        <w:pStyle w:val="PRContact"/>
        <w:pBdr>
          <w:bottom w:val="single" w:sz="4" w:space="1" w:color="000080"/>
        </w:pBdr>
        <w:tabs>
          <w:tab w:val="left" w:pos="1985"/>
          <w:tab w:val="left" w:pos="4678"/>
        </w:tabs>
        <w:jc w:val="both"/>
        <w:rPr>
          <w:rFonts w:ascii="Tahoma" w:hAnsi="Tahoma" w:cs="Tahoma"/>
          <w:color w:val="000000"/>
          <w:sz w:val="20"/>
          <w:lang w:eastAsia="el-GR"/>
        </w:rPr>
      </w:pPr>
    </w:p>
    <w:p w:rsidR="006A6AE7" w:rsidRPr="007A5DAD" w:rsidRDefault="006A6AE7" w:rsidP="006A6AE7">
      <w:pPr>
        <w:pStyle w:val="PRContact"/>
        <w:pBdr>
          <w:bottom w:val="single" w:sz="4" w:space="1" w:color="000080"/>
        </w:pBdr>
        <w:tabs>
          <w:tab w:val="left" w:pos="1985"/>
          <w:tab w:val="left" w:pos="4678"/>
        </w:tabs>
        <w:jc w:val="both"/>
        <w:rPr>
          <w:rFonts w:ascii="Tahoma" w:hAnsi="Tahoma" w:cs="Tahoma"/>
          <w:color w:val="000000"/>
          <w:sz w:val="20"/>
          <w:lang w:eastAsia="el-GR"/>
        </w:rPr>
      </w:pPr>
      <w:r w:rsidRPr="007A5DAD">
        <w:rPr>
          <w:rFonts w:ascii="Tahoma" w:hAnsi="Tahoma" w:cs="Tahoma"/>
          <w:color w:val="000000"/>
          <w:sz w:val="20"/>
          <w:lang w:eastAsia="el-GR"/>
        </w:rPr>
        <w:t>OTE is listed on the Athens Stock Exchange and the London Stock Exchange. Following OTE’s delisting from the NYSE, OTE’s ADSs (American Depositary Shares) trade in the OTC (Over the Counter) market under the ticker HLTOY through the Level I ADSs program.</w:t>
      </w:r>
    </w:p>
    <w:p w:rsidR="006A6AE7" w:rsidRPr="007A5DAD" w:rsidRDefault="006A6AE7" w:rsidP="006A6AE7">
      <w:pPr>
        <w:pStyle w:val="PRContact"/>
        <w:pBdr>
          <w:bottom w:val="single" w:sz="4" w:space="1" w:color="000080"/>
        </w:pBdr>
        <w:tabs>
          <w:tab w:val="left" w:pos="1985"/>
          <w:tab w:val="left" w:pos="4678"/>
        </w:tabs>
        <w:jc w:val="both"/>
        <w:rPr>
          <w:rFonts w:ascii="Tahoma" w:hAnsi="Tahoma" w:cs="Tahoma"/>
          <w:color w:val="000000"/>
          <w:sz w:val="20"/>
          <w:lang w:eastAsia="el-GR"/>
        </w:rPr>
      </w:pPr>
    </w:p>
    <w:p w:rsidR="00DB5540" w:rsidRPr="005B1B40" w:rsidRDefault="006A6AE7" w:rsidP="006A6AE7">
      <w:pPr>
        <w:pStyle w:val="PRContact"/>
        <w:pBdr>
          <w:bottom w:val="single" w:sz="4" w:space="1" w:color="000080"/>
        </w:pBdr>
        <w:tabs>
          <w:tab w:val="clear" w:pos="3600"/>
          <w:tab w:val="clear" w:pos="5040"/>
          <w:tab w:val="left" w:pos="1985"/>
          <w:tab w:val="left" w:pos="4678"/>
        </w:tabs>
        <w:rPr>
          <w:rFonts w:ascii="Tahoma" w:hAnsi="Tahoma" w:cs="Tahoma"/>
          <w:iCs/>
          <w:color w:val="FF0000"/>
          <w:sz w:val="20"/>
        </w:rPr>
      </w:pPr>
      <w:r w:rsidRPr="007A5DAD">
        <w:rPr>
          <w:rFonts w:ascii="Tahoma" w:hAnsi="Tahoma" w:cs="Tahoma"/>
          <w:color w:val="000000"/>
          <w:sz w:val="20"/>
          <w:lang w:eastAsia="el-GR"/>
        </w:rPr>
        <w:t>Additional Information is also available on https://www.ote.gr</w:t>
      </w:r>
    </w:p>
    <w:p w:rsidR="004B0AB2" w:rsidRPr="006A6AE7" w:rsidRDefault="004B0AB2" w:rsidP="004B0AB2">
      <w:pPr>
        <w:pStyle w:val="PRContact"/>
        <w:tabs>
          <w:tab w:val="clear" w:pos="3600"/>
          <w:tab w:val="clear" w:pos="5040"/>
          <w:tab w:val="left" w:pos="2694"/>
          <w:tab w:val="left" w:pos="5670"/>
        </w:tabs>
        <w:rPr>
          <w:rFonts w:ascii="Tahoma" w:hAnsi="Tahoma" w:cs="Tahoma"/>
          <w:b/>
          <w:bCs/>
          <w:sz w:val="20"/>
        </w:rPr>
      </w:pPr>
      <w:r w:rsidRPr="006A6AE7">
        <w:rPr>
          <w:rFonts w:ascii="Tahoma" w:hAnsi="Tahoma" w:cs="Tahoma"/>
          <w:b/>
          <w:bCs/>
          <w:sz w:val="20"/>
        </w:rPr>
        <w:t>Contacts:</w:t>
      </w:r>
    </w:p>
    <w:p w:rsidR="005A1349" w:rsidRDefault="004B0AB2" w:rsidP="006A6AE7">
      <w:pPr>
        <w:ind w:left="1418"/>
        <w:rPr>
          <w:rFonts w:ascii="Tahoma" w:hAnsi="Tahoma" w:cs="Tahoma"/>
          <w:color w:val="0000FF"/>
          <w:u w:val="single"/>
        </w:rPr>
      </w:pPr>
      <w:r w:rsidRPr="006A6AE7">
        <w:rPr>
          <w:rFonts w:ascii="Tahoma" w:hAnsi="Tahoma" w:cs="Tahoma"/>
        </w:rPr>
        <w:tab/>
      </w:r>
      <w:r w:rsidR="006A6AE7" w:rsidRPr="006A6AE7">
        <w:rPr>
          <w:rFonts w:ascii="Tahoma" w:hAnsi="Tahoma" w:cs="Tahoma"/>
          <w:color w:val="000000"/>
        </w:rPr>
        <w:t>Evrikos Sarsentis - Head of OTE Group Mergers, Acquisitions and Investor Relations</w:t>
      </w:r>
      <w:r w:rsidR="006A6AE7" w:rsidRPr="006A6AE7">
        <w:rPr>
          <w:rFonts w:ascii="Tahoma" w:hAnsi="Tahoma" w:cs="Tahoma"/>
          <w:color w:val="000000"/>
        </w:rPr>
        <w:br w:type="textWrapping" w:clear="all"/>
        <w:t xml:space="preserve">Tel: +30 210 611 1574, Email: </w:t>
      </w:r>
      <w:hyperlink r:id="rId14" w:history="1">
        <w:r w:rsidR="006A6AE7" w:rsidRPr="006A6AE7">
          <w:rPr>
            <w:rFonts w:ascii="Tahoma" w:hAnsi="Tahoma" w:cs="Tahoma"/>
            <w:color w:val="0000FF"/>
            <w:u w:val="single"/>
          </w:rPr>
          <w:t>esarsentis@ote.gr</w:t>
        </w:r>
      </w:hyperlink>
      <w:r w:rsidR="006A6AE7" w:rsidRPr="006A6AE7">
        <w:rPr>
          <w:rFonts w:ascii="Tahoma" w:hAnsi="Tahoma" w:cs="Tahoma"/>
          <w:color w:val="000000"/>
        </w:rPr>
        <w:br w:type="textWrapping" w:clear="all"/>
        <w:t xml:space="preserve">Maria </w:t>
      </w:r>
      <w:r w:rsidR="0063046D">
        <w:rPr>
          <w:rFonts w:ascii="Tahoma" w:hAnsi="Tahoma" w:cs="Tahoma"/>
          <w:color w:val="000000"/>
        </w:rPr>
        <w:t>Tsavdaridou</w:t>
      </w:r>
      <w:r w:rsidR="006A6AE7" w:rsidRPr="006A6AE7">
        <w:rPr>
          <w:rFonts w:ascii="Tahoma" w:hAnsi="Tahoma" w:cs="Tahoma"/>
          <w:color w:val="000000"/>
        </w:rPr>
        <w:t xml:space="preserve"> - Assistant to the Head of OTE Group Mergers, Acquisitions and Investor Relations</w:t>
      </w:r>
      <w:r w:rsidR="006A6AE7" w:rsidRPr="006A6AE7">
        <w:rPr>
          <w:rFonts w:ascii="Tahoma" w:hAnsi="Tahoma" w:cs="Tahoma"/>
          <w:color w:val="000000"/>
        </w:rPr>
        <w:br w:type="textWrapping" w:clear="all"/>
        <w:t>Tel: +30 210 611 5</w:t>
      </w:r>
      <w:r w:rsidR="0063046D">
        <w:rPr>
          <w:rFonts w:ascii="Tahoma" w:hAnsi="Tahoma" w:cs="Tahoma"/>
          <w:color w:val="000000"/>
        </w:rPr>
        <w:t>036</w:t>
      </w:r>
      <w:r w:rsidR="006A6AE7" w:rsidRPr="006A6AE7">
        <w:rPr>
          <w:rFonts w:ascii="Tahoma" w:hAnsi="Tahoma" w:cs="Tahoma"/>
          <w:color w:val="000000"/>
        </w:rPr>
        <w:t xml:space="preserve">, Email: </w:t>
      </w:r>
      <w:hyperlink r:id="rId15" w:history="1">
        <w:r w:rsidR="0063046D" w:rsidRPr="00ED1315">
          <w:rPr>
            <w:rStyle w:val="Hyperlink"/>
            <w:rFonts w:ascii="Tahoma" w:hAnsi="Tahoma" w:cs="Tahoma"/>
          </w:rPr>
          <w:t>mtsavdaridou@ote.gr</w:t>
        </w:r>
      </w:hyperlink>
      <w:r w:rsidR="006A6AE7" w:rsidRPr="006A6AE7">
        <w:rPr>
          <w:rFonts w:ascii="Tahoma" w:hAnsi="Tahoma" w:cs="Tahoma"/>
          <w:color w:val="000000"/>
        </w:rPr>
        <w:br w:type="textWrapping" w:clear="all"/>
        <w:t>Kostas Maselis - Deputy Director, Investor Relations</w:t>
      </w:r>
      <w:r w:rsidR="006A6AE7" w:rsidRPr="006A6AE7">
        <w:rPr>
          <w:rFonts w:ascii="Tahoma" w:hAnsi="Tahoma" w:cs="Tahoma"/>
          <w:color w:val="000000"/>
        </w:rPr>
        <w:br w:type="textWrapping" w:clear="all"/>
        <w:t xml:space="preserve">Tel: + 30 210 611 7593, Email: </w:t>
      </w:r>
      <w:hyperlink r:id="rId16" w:history="1">
        <w:r w:rsidR="006A6AE7" w:rsidRPr="006A6AE7">
          <w:rPr>
            <w:rFonts w:ascii="Tahoma" w:hAnsi="Tahoma" w:cs="Tahoma"/>
            <w:color w:val="0000FF"/>
            <w:u w:val="single"/>
          </w:rPr>
          <w:t>kmaselis@ote.gr</w:t>
        </w:r>
      </w:hyperlink>
      <w:r w:rsidR="006A6AE7" w:rsidRPr="006A6AE7">
        <w:rPr>
          <w:rFonts w:ascii="Tahoma" w:hAnsi="Tahoma" w:cs="Tahoma"/>
          <w:color w:val="000000"/>
        </w:rPr>
        <w:br w:type="textWrapping" w:clear="all"/>
        <w:t>Sofia Ziavra - Senior Financial Analyst, Investor Relations</w:t>
      </w:r>
      <w:r w:rsidR="006A6AE7" w:rsidRPr="006A6AE7">
        <w:rPr>
          <w:rFonts w:ascii="Tahoma" w:hAnsi="Tahoma" w:cs="Tahoma"/>
          <w:color w:val="000000"/>
        </w:rPr>
        <w:br w:type="textWrapping" w:clear="all"/>
        <w:t xml:space="preserve">Tel: + 30 210 611 8190, Email: </w:t>
      </w:r>
      <w:hyperlink r:id="rId17" w:history="1">
        <w:r w:rsidR="006A6AE7" w:rsidRPr="006A6AE7">
          <w:rPr>
            <w:rFonts w:ascii="Tahoma" w:hAnsi="Tahoma" w:cs="Tahoma"/>
            <w:color w:val="0000FF"/>
            <w:u w:val="single"/>
          </w:rPr>
          <w:t>sziavra@ote.gr</w:t>
        </w:r>
      </w:hyperlink>
    </w:p>
    <w:p w:rsidR="006A6AE7" w:rsidRPr="006A6AE7" w:rsidRDefault="006A6AE7" w:rsidP="006A6AE7">
      <w:pPr>
        <w:ind w:left="1418"/>
        <w:rPr>
          <w:rFonts w:ascii="Tahoma" w:hAnsi="Tahoma" w:cs="Tahoma"/>
          <w:color w:val="000000"/>
        </w:rPr>
      </w:pPr>
      <w:r w:rsidRPr="006A6AE7">
        <w:rPr>
          <w:rFonts w:ascii="Tahoma" w:hAnsi="Tahoma" w:cs="Tahoma"/>
          <w:color w:val="000000"/>
        </w:rPr>
        <w:lastRenderedPageBreak/>
        <w:br w:type="textWrapping" w:clear="all"/>
        <w:t>Christina Hadjigeorgiou, - Senior Financial Analyst, Investor Relations</w:t>
      </w:r>
      <w:r w:rsidRPr="006A6AE7">
        <w:rPr>
          <w:rFonts w:ascii="Tahoma" w:hAnsi="Tahoma" w:cs="Tahoma"/>
          <w:color w:val="000000"/>
        </w:rPr>
        <w:br w:type="textWrapping" w:clear="all"/>
        <w:t xml:space="preserve">Tel: + 30 210 611 1428, Email: </w:t>
      </w:r>
      <w:hyperlink r:id="rId18" w:history="1">
        <w:r w:rsidRPr="006A6AE7">
          <w:rPr>
            <w:rFonts w:ascii="Tahoma" w:hAnsi="Tahoma" w:cs="Tahoma"/>
            <w:color w:val="0000FF"/>
            <w:u w:val="single"/>
          </w:rPr>
          <w:t>cchatzigeo@ote.gr</w:t>
        </w:r>
      </w:hyperlink>
      <w:r w:rsidRPr="006A6AE7">
        <w:rPr>
          <w:rFonts w:ascii="Tahoma" w:hAnsi="Tahoma" w:cs="Tahoma"/>
          <w:color w:val="000000"/>
        </w:rPr>
        <w:br w:type="textWrapping" w:clear="all"/>
        <w:t>Manousos Apostolakis - Communications &amp; Regulatory Affairs Officer, OTE Group Mergers, Acquisitions and Investor Relations</w:t>
      </w:r>
      <w:r w:rsidRPr="006A6AE7">
        <w:rPr>
          <w:rFonts w:ascii="Tahoma" w:hAnsi="Tahoma" w:cs="Tahoma"/>
          <w:color w:val="000000"/>
        </w:rPr>
        <w:br w:type="textWrapping" w:clear="all"/>
        <w:t xml:space="preserve">Tel: +30 210 611 6418, Email: </w:t>
      </w:r>
      <w:hyperlink r:id="rId19" w:history="1">
        <w:r w:rsidRPr="006A6AE7">
          <w:rPr>
            <w:rFonts w:ascii="Tahoma" w:hAnsi="Tahoma" w:cs="Tahoma"/>
            <w:color w:val="0000FF"/>
            <w:u w:val="single"/>
          </w:rPr>
          <w:t>mapostolakis@ote.gr</w:t>
        </w:r>
      </w:hyperlink>
    </w:p>
    <w:p w:rsidR="006A6AE7" w:rsidRPr="006A6AE7" w:rsidRDefault="006A6AE7" w:rsidP="006A6AE7">
      <w:pPr>
        <w:tabs>
          <w:tab w:val="left" w:pos="1418"/>
          <w:tab w:val="left" w:pos="2694"/>
          <w:tab w:val="left" w:pos="4253"/>
          <w:tab w:val="left" w:pos="5670"/>
        </w:tabs>
        <w:spacing w:line="200" w:lineRule="exact"/>
        <w:ind w:left="1418" w:right="284"/>
        <w:rPr>
          <w:rFonts w:ascii="Tahoma" w:hAnsi="Tahoma" w:cs="Tahoma"/>
          <w:sz w:val="16"/>
          <w:szCs w:val="16"/>
          <w:lang w:val="en-GB" w:eastAsia="el-GR"/>
        </w:rPr>
      </w:pPr>
      <w:r w:rsidRPr="006A6AE7">
        <w:rPr>
          <w:rFonts w:ascii="Tahoma" w:hAnsi="Tahoma" w:cs="Tahoma"/>
          <w:color w:val="000000"/>
          <w:lang w:val="en-GB" w:eastAsia="el-GR"/>
        </w:rPr>
        <w:t>Maria Delenika - Communications &amp; Regulatory Affairs Officer, OTE Group Mergers, Acquisitions and Investor Relations</w:t>
      </w:r>
      <w:r w:rsidRPr="006A6AE7">
        <w:rPr>
          <w:rFonts w:ascii="Tahoma" w:hAnsi="Tahoma" w:cs="Tahoma"/>
          <w:color w:val="000000"/>
          <w:lang w:val="en-GB" w:eastAsia="el-GR"/>
        </w:rPr>
        <w:br w:type="textWrapping" w:clear="all"/>
        <w:t xml:space="preserve">Tel: +30 210 617 7981, Email: </w:t>
      </w:r>
      <w:hyperlink r:id="rId20" w:history="1">
        <w:r w:rsidRPr="006A6AE7">
          <w:rPr>
            <w:rFonts w:ascii="Tahoma" w:hAnsi="Tahoma" w:cs="Tahoma"/>
            <w:color w:val="0000FF"/>
            <w:u w:val="single"/>
          </w:rPr>
          <w:t>mdelenika@cosmote.gr</w:t>
        </w:r>
      </w:hyperlink>
      <w:r w:rsidRPr="006A6AE7">
        <w:rPr>
          <w:rFonts w:ascii="Tahoma" w:hAnsi="Tahoma" w:cs="Tahoma"/>
          <w:color w:val="000000"/>
          <w:lang w:val="en-GB" w:eastAsia="el-GR"/>
        </w:rPr>
        <w:t xml:space="preserve">  </w:t>
      </w:r>
    </w:p>
    <w:p w:rsidR="009D0CAD" w:rsidRPr="00D64153" w:rsidRDefault="009D0CAD" w:rsidP="006A6AE7">
      <w:pPr>
        <w:pStyle w:val="BodyText3-Contempora"/>
        <w:tabs>
          <w:tab w:val="left" w:pos="1418"/>
          <w:tab w:val="left" w:pos="2694"/>
          <w:tab w:val="left" w:pos="4253"/>
          <w:tab w:val="left" w:pos="5670"/>
        </w:tabs>
        <w:ind w:left="1418" w:right="284" w:hanging="1418"/>
        <w:jc w:val="both"/>
        <w:rPr>
          <w:rFonts w:ascii="Tahoma" w:hAnsi="Tahoma" w:cs="Tahoma"/>
          <w:sz w:val="20"/>
          <w:u w:val="single"/>
        </w:rPr>
      </w:pPr>
    </w:p>
    <w:sectPr w:rsidR="009D0CAD" w:rsidRPr="00D64153" w:rsidSect="0087336E">
      <w:headerReference w:type="default" r:id="rId21"/>
      <w:headerReference w:type="first" r:id="rId22"/>
      <w:pgSz w:w="11907" w:h="16840" w:code="9"/>
      <w:pgMar w:top="720" w:right="720" w:bottom="720" w:left="720" w:header="720" w:footer="6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F4" w:rsidRDefault="00BF58F4">
      <w:r>
        <w:separator/>
      </w:r>
    </w:p>
  </w:endnote>
  <w:endnote w:type="continuationSeparator" w:id="0">
    <w:p w:rsidR="00BF58F4" w:rsidRDefault="00BF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62C55E" w:usb2="0062C53C" w:usb3="00000000" w:csb0="0062C58A" w:csb1="0062C556"/>
  </w:font>
  <w:font w:name="Arial Unicode MS">
    <w:panose1 w:val="020B0604020202020204"/>
    <w:charset w:val="00"/>
    <w:family w:val="roman"/>
    <w:notTrueType/>
    <w:pitch w:val="variable"/>
    <w:sig w:usb0="00000003" w:usb1="00000000" w:usb2="00000000" w:usb3="00000000" w:csb0="00000001" w:csb1="00000000"/>
  </w:font>
  <w:font w:name="PA-Sans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F4" w:rsidRDefault="00BF58F4">
      <w:r>
        <w:separator/>
      </w:r>
    </w:p>
  </w:footnote>
  <w:footnote w:type="continuationSeparator" w:id="0">
    <w:p w:rsidR="00BF58F4" w:rsidRDefault="00BF5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40" w:rsidRPr="00EE329B" w:rsidRDefault="002D6540">
    <w:pPr>
      <w:rPr>
        <w:rFonts w:ascii="Tahoma" w:hAnsi="Tahoma"/>
        <w:b/>
        <w:color w:val="000080"/>
        <w:sz w:val="22"/>
      </w:rPr>
    </w:pPr>
    <w:r>
      <w:rPr>
        <w:noProof/>
        <w:color w:val="000080"/>
        <w:lang w:val="el-GR" w:eastAsia="el-GR"/>
      </w:rPr>
      <w:drawing>
        <wp:inline distT="0" distB="0" distL="0" distR="0">
          <wp:extent cx="1428750" cy="1095375"/>
          <wp:effectExtent l="19050" t="0" r="0" b="0"/>
          <wp:docPr id="2" name="Εικόνα 2" descr="Περιγραφή: Περιγραφή: C:\Documents and Settings\eagoglossak\Local Settings\Temp\ote-together-whit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Περιγραφή: C:\Documents and Settings\eagoglossak\Local Settings\Temp\ote-together-white-en.jpg"/>
                  <pic:cNvPicPr>
                    <a:picLocks noChangeAspect="1" noChangeArrowheads="1"/>
                  </pic:cNvPicPr>
                </pic:nvPicPr>
                <pic:blipFill>
                  <a:blip r:embed="rId1"/>
                  <a:srcRect/>
                  <a:stretch>
                    <a:fillRect/>
                  </a:stretch>
                </pic:blipFill>
                <pic:spPr bwMode="auto">
                  <a:xfrm>
                    <a:off x="0" y="0"/>
                    <a:ext cx="1428750" cy="10953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40" w:rsidRDefault="002D6540">
    <w:pPr>
      <w:rPr>
        <w:color w:val="000080"/>
      </w:rPr>
    </w:pPr>
  </w:p>
  <w:p w:rsidR="002D6540" w:rsidRPr="00FF1D63" w:rsidRDefault="002D6540" w:rsidP="00FF1D63">
    <w:pPr>
      <w:rPr>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95F"/>
    <w:multiLevelType w:val="hybridMultilevel"/>
    <w:tmpl w:val="3E88453C"/>
    <w:lvl w:ilvl="0" w:tplc="04080007">
      <w:start w:val="1"/>
      <w:numFmt w:val="bullet"/>
      <w:lvlText w:val=""/>
      <w:lvlJc w:val="left"/>
      <w:pPr>
        <w:tabs>
          <w:tab w:val="num" w:pos="945"/>
        </w:tabs>
        <w:ind w:left="945"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E63D9"/>
    <w:multiLevelType w:val="hybridMultilevel"/>
    <w:tmpl w:val="82B8498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5E111B4"/>
    <w:multiLevelType w:val="hybridMultilevel"/>
    <w:tmpl w:val="C2E6ADF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9A54AEA"/>
    <w:multiLevelType w:val="hybridMultilevel"/>
    <w:tmpl w:val="72581A4C"/>
    <w:lvl w:ilvl="0" w:tplc="CB3C5AD0">
      <w:start w:val="1"/>
      <w:numFmt w:val="bullet"/>
      <w:lvlText w:val=""/>
      <w:lvlJc w:val="left"/>
      <w:pPr>
        <w:tabs>
          <w:tab w:val="num" w:pos="360"/>
        </w:tabs>
        <w:ind w:left="360" w:hanging="360"/>
      </w:pPr>
      <w:rPr>
        <w:rFonts w:ascii="Symbol" w:hAnsi="Symbol" w:hint="default"/>
        <w:b/>
        <w:i w:val="0"/>
        <w:color w:val="000000"/>
        <w:sz w:val="20"/>
        <w:szCs w:val="20"/>
        <w:u w:color="00000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212DF2"/>
    <w:multiLevelType w:val="hybridMultilevel"/>
    <w:tmpl w:val="AB08009A"/>
    <w:lvl w:ilvl="0" w:tplc="CB3C5AD0">
      <w:start w:val="1"/>
      <w:numFmt w:val="bullet"/>
      <w:lvlText w:val=""/>
      <w:lvlJc w:val="left"/>
      <w:pPr>
        <w:tabs>
          <w:tab w:val="num" w:pos="360"/>
        </w:tabs>
        <w:ind w:left="360" w:hanging="360"/>
      </w:pPr>
      <w:rPr>
        <w:rFonts w:ascii="Symbol" w:hAnsi="Symbol" w:hint="default"/>
        <w:b/>
        <w:i w:val="0"/>
        <w:color w:val="000000"/>
        <w:sz w:val="20"/>
        <w:szCs w:val="20"/>
        <w:u w:color="00000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4BC5A7C"/>
    <w:multiLevelType w:val="hybridMultilevel"/>
    <w:tmpl w:val="7CC890C4"/>
    <w:lvl w:ilvl="0" w:tplc="04080007">
      <w:start w:val="1"/>
      <w:numFmt w:val="bullet"/>
      <w:lvlText w:val=""/>
      <w:lvlJc w:val="left"/>
      <w:pPr>
        <w:tabs>
          <w:tab w:val="num" w:pos="945"/>
        </w:tabs>
        <w:ind w:left="945"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3D3E23"/>
    <w:multiLevelType w:val="hybridMultilevel"/>
    <w:tmpl w:val="B0AA04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AC30F7C"/>
    <w:multiLevelType w:val="hybridMultilevel"/>
    <w:tmpl w:val="F5F4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F33036"/>
    <w:multiLevelType w:val="hybridMultilevel"/>
    <w:tmpl w:val="B1A0D356"/>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654"/>
        </w:tabs>
        <w:ind w:left="654" w:hanging="360"/>
      </w:pPr>
    </w:lvl>
    <w:lvl w:ilvl="2" w:tplc="0408001B" w:tentative="1">
      <w:start w:val="1"/>
      <w:numFmt w:val="lowerRoman"/>
      <w:lvlText w:val="%3."/>
      <w:lvlJc w:val="right"/>
      <w:pPr>
        <w:tabs>
          <w:tab w:val="num" w:pos="1374"/>
        </w:tabs>
        <w:ind w:left="1374" w:hanging="180"/>
      </w:pPr>
    </w:lvl>
    <w:lvl w:ilvl="3" w:tplc="0408000F" w:tentative="1">
      <w:start w:val="1"/>
      <w:numFmt w:val="decimal"/>
      <w:lvlText w:val="%4."/>
      <w:lvlJc w:val="left"/>
      <w:pPr>
        <w:tabs>
          <w:tab w:val="num" w:pos="2094"/>
        </w:tabs>
        <w:ind w:left="2094" w:hanging="360"/>
      </w:pPr>
    </w:lvl>
    <w:lvl w:ilvl="4" w:tplc="04080019" w:tentative="1">
      <w:start w:val="1"/>
      <w:numFmt w:val="lowerLetter"/>
      <w:lvlText w:val="%5."/>
      <w:lvlJc w:val="left"/>
      <w:pPr>
        <w:tabs>
          <w:tab w:val="num" w:pos="2814"/>
        </w:tabs>
        <w:ind w:left="2814" w:hanging="360"/>
      </w:pPr>
    </w:lvl>
    <w:lvl w:ilvl="5" w:tplc="0408001B" w:tentative="1">
      <w:start w:val="1"/>
      <w:numFmt w:val="lowerRoman"/>
      <w:lvlText w:val="%6."/>
      <w:lvlJc w:val="right"/>
      <w:pPr>
        <w:tabs>
          <w:tab w:val="num" w:pos="3534"/>
        </w:tabs>
        <w:ind w:left="3534" w:hanging="180"/>
      </w:pPr>
    </w:lvl>
    <w:lvl w:ilvl="6" w:tplc="0408000F" w:tentative="1">
      <w:start w:val="1"/>
      <w:numFmt w:val="decimal"/>
      <w:lvlText w:val="%7."/>
      <w:lvlJc w:val="left"/>
      <w:pPr>
        <w:tabs>
          <w:tab w:val="num" w:pos="4254"/>
        </w:tabs>
        <w:ind w:left="4254" w:hanging="360"/>
      </w:pPr>
    </w:lvl>
    <w:lvl w:ilvl="7" w:tplc="04080019" w:tentative="1">
      <w:start w:val="1"/>
      <w:numFmt w:val="lowerLetter"/>
      <w:lvlText w:val="%8."/>
      <w:lvlJc w:val="left"/>
      <w:pPr>
        <w:tabs>
          <w:tab w:val="num" w:pos="4974"/>
        </w:tabs>
        <w:ind w:left="4974" w:hanging="360"/>
      </w:pPr>
    </w:lvl>
    <w:lvl w:ilvl="8" w:tplc="0408001B" w:tentative="1">
      <w:start w:val="1"/>
      <w:numFmt w:val="lowerRoman"/>
      <w:lvlText w:val="%9."/>
      <w:lvlJc w:val="right"/>
      <w:pPr>
        <w:tabs>
          <w:tab w:val="num" w:pos="5694"/>
        </w:tabs>
        <w:ind w:left="5694" w:hanging="180"/>
      </w:pPr>
    </w:lvl>
  </w:abstractNum>
  <w:abstractNum w:abstractNumId="9">
    <w:nsid w:val="430C732A"/>
    <w:multiLevelType w:val="hybridMultilevel"/>
    <w:tmpl w:val="A2B20D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B6F13A9"/>
    <w:multiLevelType w:val="hybridMultilevel"/>
    <w:tmpl w:val="BDE2F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9445B3C"/>
    <w:multiLevelType w:val="hybridMultilevel"/>
    <w:tmpl w:val="E9F4C290"/>
    <w:lvl w:ilvl="0" w:tplc="04080005">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2">
    <w:nsid w:val="5C1F5656"/>
    <w:multiLevelType w:val="hybridMultilevel"/>
    <w:tmpl w:val="19D0B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45D0A89"/>
    <w:multiLevelType w:val="hybridMultilevel"/>
    <w:tmpl w:val="C544660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7CE087E"/>
    <w:multiLevelType w:val="hybridMultilevel"/>
    <w:tmpl w:val="FF9CC5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68392297"/>
    <w:multiLevelType w:val="multilevel"/>
    <w:tmpl w:val="58F08BBE"/>
    <w:lvl w:ilvl="0">
      <w:start w:val="1"/>
      <w:numFmt w:val="decimal"/>
      <w:pStyle w:val="TOC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4582563"/>
    <w:multiLevelType w:val="hybridMultilevel"/>
    <w:tmpl w:val="FE62BD46"/>
    <w:lvl w:ilvl="0" w:tplc="B0F2D460">
      <w:start w:val="1"/>
      <w:numFmt w:val="lowerRoman"/>
      <w:lvlText w:val="(%1)"/>
      <w:lvlJc w:val="left"/>
      <w:pPr>
        <w:ind w:left="1434" w:hanging="360"/>
      </w:pPr>
      <w:rPr>
        <w:rFonts w:hint="default"/>
      </w:rPr>
    </w:lvl>
    <w:lvl w:ilvl="1" w:tplc="04080019" w:tentative="1">
      <w:start w:val="1"/>
      <w:numFmt w:val="lowerLetter"/>
      <w:lvlText w:val="%2."/>
      <w:lvlJc w:val="left"/>
      <w:pPr>
        <w:ind w:left="2154" w:hanging="360"/>
      </w:pPr>
    </w:lvl>
    <w:lvl w:ilvl="2" w:tplc="0408001B" w:tentative="1">
      <w:start w:val="1"/>
      <w:numFmt w:val="lowerRoman"/>
      <w:lvlText w:val="%3."/>
      <w:lvlJc w:val="right"/>
      <w:pPr>
        <w:ind w:left="2874" w:hanging="180"/>
      </w:pPr>
    </w:lvl>
    <w:lvl w:ilvl="3" w:tplc="0408000F" w:tentative="1">
      <w:start w:val="1"/>
      <w:numFmt w:val="decimal"/>
      <w:lvlText w:val="%4."/>
      <w:lvlJc w:val="left"/>
      <w:pPr>
        <w:ind w:left="3594" w:hanging="360"/>
      </w:pPr>
    </w:lvl>
    <w:lvl w:ilvl="4" w:tplc="04080019" w:tentative="1">
      <w:start w:val="1"/>
      <w:numFmt w:val="lowerLetter"/>
      <w:lvlText w:val="%5."/>
      <w:lvlJc w:val="left"/>
      <w:pPr>
        <w:ind w:left="4314" w:hanging="360"/>
      </w:pPr>
    </w:lvl>
    <w:lvl w:ilvl="5" w:tplc="0408001B" w:tentative="1">
      <w:start w:val="1"/>
      <w:numFmt w:val="lowerRoman"/>
      <w:lvlText w:val="%6."/>
      <w:lvlJc w:val="right"/>
      <w:pPr>
        <w:ind w:left="5034" w:hanging="180"/>
      </w:pPr>
    </w:lvl>
    <w:lvl w:ilvl="6" w:tplc="0408000F" w:tentative="1">
      <w:start w:val="1"/>
      <w:numFmt w:val="decimal"/>
      <w:lvlText w:val="%7."/>
      <w:lvlJc w:val="left"/>
      <w:pPr>
        <w:ind w:left="5754" w:hanging="360"/>
      </w:pPr>
    </w:lvl>
    <w:lvl w:ilvl="7" w:tplc="04080019" w:tentative="1">
      <w:start w:val="1"/>
      <w:numFmt w:val="lowerLetter"/>
      <w:lvlText w:val="%8."/>
      <w:lvlJc w:val="left"/>
      <w:pPr>
        <w:ind w:left="6474" w:hanging="360"/>
      </w:pPr>
    </w:lvl>
    <w:lvl w:ilvl="8" w:tplc="0408001B" w:tentative="1">
      <w:start w:val="1"/>
      <w:numFmt w:val="lowerRoman"/>
      <w:lvlText w:val="%9."/>
      <w:lvlJc w:val="right"/>
      <w:pPr>
        <w:ind w:left="7194" w:hanging="180"/>
      </w:pPr>
    </w:lvl>
  </w:abstractNum>
  <w:abstractNum w:abstractNumId="17">
    <w:nsid w:val="75CE28E9"/>
    <w:multiLevelType w:val="hybridMultilevel"/>
    <w:tmpl w:val="50240B0C"/>
    <w:lvl w:ilvl="0" w:tplc="06D43F0A">
      <w:start w:val="1"/>
      <w:numFmt w:val="decimal"/>
      <w:lvlText w:val="%1."/>
      <w:lvlJc w:val="left"/>
      <w:pPr>
        <w:tabs>
          <w:tab w:val="num" w:pos="482"/>
        </w:tabs>
        <w:ind w:left="482" w:hanging="36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B1F2332"/>
    <w:multiLevelType w:val="singleLevel"/>
    <w:tmpl w:val="4F34EB4E"/>
    <w:lvl w:ilvl="0">
      <w:start w:val="1"/>
      <w:numFmt w:val="decimal"/>
      <w:lvlText w:val="%1."/>
      <w:lvlJc w:val="left"/>
      <w:pPr>
        <w:tabs>
          <w:tab w:val="num" w:pos="420"/>
        </w:tabs>
        <w:ind w:left="420" w:hanging="420"/>
      </w:pPr>
      <w:rPr>
        <w:rFonts w:hint="default"/>
      </w:rPr>
    </w:lvl>
  </w:abstractNum>
  <w:abstractNum w:abstractNumId="19">
    <w:nsid w:val="7D12674C"/>
    <w:multiLevelType w:val="hybridMultilevel"/>
    <w:tmpl w:val="128246A0"/>
    <w:lvl w:ilvl="0" w:tplc="04080007">
      <w:start w:val="1"/>
      <w:numFmt w:val="bullet"/>
      <w:lvlText w:val=""/>
      <w:lvlJc w:val="left"/>
      <w:pPr>
        <w:tabs>
          <w:tab w:val="num" w:pos="945"/>
        </w:tabs>
        <w:ind w:left="945" w:hanging="360"/>
      </w:pPr>
      <w:rPr>
        <w:rFonts w:ascii="Wingdings" w:hAnsi="Wingdings" w:hint="default"/>
        <w:sz w:val="16"/>
      </w:rPr>
    </w:lvl>
    <w:lvl w:ilvl="1" w:tplc="04080003" w:tentative="1">
      <w:start w:val="1"/>
      <w:numFmt w:val="bullet"/>
      <w:lvlText w:val="o"/>
      <w:lvlJc w:val="left"/>
      <w:pPr>
        <w:tabs>
          <w:tab w:val="num" w:pos="1665"/>
        </w:tabs>
        <w:ind w:left="1665" w:hanging="360"/>
      </w:pPr>
      <w:rPr>
        <w:rFonts w:ascii="Courier New" w:hAnsi="Courier New" w:cs="Courier New" w:hint="default"/>
      </w:rPr>
    </w:lvl>
    <w:lvl w:ilvl="2" w:tplc="04080005" w:tentative="1">
      <w:start w:val="1"/>
      <w:numFmt w:val="bullet"/>
      <w:lvlText w:val=""/>
      <w:lvlJc w:val="left"/>
      <w:pPr>
        <w:tabs>
          <w:tab w:val="num" w:pos="2385"/>
        </w:tabs>
        <w:ind w:left="2385" w:hanging="360"/>
      </w:pPr>
      <w:rPr>
        <w:rFonts w:ascii="Wingdings" w:hAnsi="Wingdings" w:hint="default"/>
      </w:rPr>
    </w:lvl>
    <w:lvl w:ilvl="3" w:tplc="04080001" w:tentative="1">
      <w:start w:val="1"/>
      <w:numFmt w:val="bullet"/>
      <w:lvlText w:val=""/>
      <w:lvlJc w:val="left"/>
      <w:pPr>
        <w:tabs>
          <w:tab w:val="num" w:pos="3105"/>
        </w:tabs>
        <w:ind w:left="3105" w:hanging="360"/>
      </w:pPr>
      <w:rPr>
        <w:rFonts w:ascii="Symbol" w:hAnsi="Symbol" w:hint="default"/>
      </w:rPr>
    </w:lvl>
    <w:lvl w:ilvl="4" w:tplc="04080003" w:tentative="1">
      <w:start w:val="1"/>
      <w:numFmt w:val="bullet"/>
      <w:lvlText w:val="o"/>
      <w:lvlJc w:val="left"/>
      <w:pPr>
        <w:tabs>
          <w:tab w:val="num" w:pos="3825"/>
        </w:tabs>
        <w:ind w:left="3825" w:hanging="360"/>
      </w:pPr>
      <w:rPr>
        <w:rFonts w:ascii="Courier New" w:hAnsi="Courier New" w:cs="Courier New" w:hint="default"/>
      </w:rPr>
    </w:lvl>
    <w:lvl w:ilvl="5" w:tplc="04080005" w:tentative="1">
      <w:start w:val="1"/>
      <w:numFmt w:val="bullet"/>
      <w:lvlText w:val=""/>
      <w:lvlJc w:val="left"/>
      <w:pPr>
        <w:tabs>
          <w:tab w:val="num" w:pos="4545"/>
        </w:tabs>
        <w:ind w:left="4545" w:hanging="360"/>
      </w:pPr>
      <w:rPr>
        <w:rFonts w:ascii="Wingdings" w:hAnsi="Wingdings" w:hint="default"/>
      </w:rPr>
    </w:lvl>
    <w:lvl w:ilvl="6" w:tplc="04080001" w:tentative="1">
      <w:start w:val="1"/>
      <w:numFmt w:val="bullet"/>
      <w:lvlText w:val=""/>
      <w:lvlJc w:val="left"/>
      <w:pPr>
        <w:tabs>
          <w:tab w:val="num" w:pos="5265"/>
        </w:tabs>
        <w:ind w:left="5265" w:hanging="360"/>
      </w:pPr>
      <w:rPr>
        <w:rFonts w:ascii="Symbol" w:hAnsi="Symbol" w:hint="default"/>
      </w:rPr>
    </w:lvl>
    <w:lvl w:ilvl="7" w:tplc="04080003" w:tentative="1">
      <w:start w:val="1"/>
      <w:numFmt w:val="bullet"/>
      <w:lvlText w:val="o"/>
      <w:lvlJc w:val="left"/>
      <w:pPr>
        <w:tabs>
          <w:tab w:val="num" w:pos="5985"/>
        </w:tabs>
        <w:ind w:left="5985" w:hanging="360"/>
      </w:pPr>
      <w:rPr>
        <w:rFonts w:ascii="Courier New" w:hAnsi="Courier New" w:cs="Courier New" w:hint="default"/>
      </w:rPr>
    </w:lvl>
    <w:lvl w:ilvl="8" w:tplc="04080005" w:tentative="1">
      <w:start w:val="1"/>
      <w:numFmt w:val="bullet"/>
      <w:lvlText w:val=""/>
      <w:lvlJc w:val="left"/>
      <w:pPr>
        <w:tabs>
          <w:tab w:val="num" w:pos="6705"/>
        </w:tabs>
        <w:ind w:left="6705" w:hanging="360"/>
      </w:pPr>
      <w:rPr>
        <w:rFonts w:ascii="Wingdings" w:hAnsi="Wingdings" w:hint="default"/>
      </w:rPr>
    </w:lvl>
  </w:abstractNum>
  <w:abstractNum w:abstractNumId="20">
    <w:nsid w:val="7EF55CF2"/>
    <w:multiLevelType w:val="hybridMultilevel"/>
    <w:tmpl w:val="D1346124"/>
    <w:lvl w:ilvl="0" w:tplc="04080007">
      <w:start w:val="1"/>
      <w:numFmt w:val="bullet"/>
      <w:lvlText w:val=""/>
      <w:lvlJc w:val="left"/>
      <w:pPr>
        <w:tabs>
          <w:tab w:val="num" w:pos="945"/>
        </w:tabs>
        <w:ind w:left="945"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3"/>
  </w:num>
  <w:num w:numId="4">
    <w:abstractNumId w:val="1"/>
  </w:num>
  <w:num w:numId="5">
    <w:abstractNumId w:val="2"/>
  </w:num>
  <w:num w:numId="6">
    <w:abstractNumId w:val="14"/>
  </w:num>
  <w:num w:numId="7">
    <w:abstractNumId w:val="9"/>
  </w:num>
  <w:num w:numId="8">
    <w:abstractNumId w:val="7"/>
  </w:num>
  <w:num w:numId="9">
    <w:abstractNumId w:val="19"/>
  </w:num>
  <w:num w:numId="10">
    <w:abstractNumId w:val="20"/>
  </w:num>
  <w:num w:numId="11">
    <w:abstractNumId w:val="0"/>
  </w:num>
  <w:num w:numId="12">
    <w:abstractNumId w:val="5"/>
  </w:num>
  <w:num w:numId="13">
    <w:abstractNumId w:val="18"/>
  </w:num>
  <w:num w:numId="14">
    <w:abstractNumId w:val="4"/>
  </w:num>
  <w:num w:numId="15">
    <w:abstractNumId w:val="3"/>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 w:numId="20">
    <w:abstractNumId w:val="17"/>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AD"/>
    <w:rsid w:val="00001888"/>
    <w:rsid w:val="00016240"/>
    <w:rsid w:val="00016A09"/>
    <w:rsid w:val="00031418"/>
    <w:rsid w:val="00034742"/>
    <w:rsid w:val="0004603E"/>
    <w:rsid w:val="00056D61"/>
    <w:rsid w:val="000628B1"/>
    <w:rsid w:val="000661C0"/>
    <w:rsid w:val="00075C54"/>
    <w:rsid w:val="000940BE"/>
    <w:rsid w:val="000A2F0D"/>
    <w:rsid w:val="000A4C73"/>
    <w:rsid w:val="000B0AF6"/>
    <w:rsid w:val="000B57C5"/>
    <w:rsid w:val="000C2135"/>
    <w:rsid w:val="000C7210"/>
    <w:rsid w:val="000D0721"/>
    <w:rsid w:val="000D0C73"/>
    <w:rsid w:val="000D3B62"/>
    <w:rsid w:val="000E04AF"/>
    <w:rsid w:val="000E4EE7"/>
    <w:rsid w:val="000E5310"/>
    <w:rsid w:val="000E5334"/>
    <w:rsid w:val="000F3DF8"/>
    <w:rsid w:val="000F4A5F"/>
    <w:rsid w:val="000F4AB0"/>
    <w:rsid w:val="000F67E5"/>
    <w:rsid w:val="001044FC"/>
    <w:rsid w:val="00106FF5"/>
    <w:rsid w:val="001131ED"/>
    <w:rsid w:val="001157D7"/>
    <w:rsid w:val="0013525D"/>
    <w:rsid w:val="001407F3"/>
    <w:rsid w:val="00144E59"/>
    <w:rsid w:val="00147849"/>
    <w:rsid w:val="00155092"/>
    <w:rsid w:val="00163B00"/>
    <w:rsid w:val="001663B2"/>
    <w:rsid w:val="001750D8"/>
    <w:rsid w:val="00182E55"/>
    <w:rsid w:val="0018471A"/>
    <w:rsid w:val="001919EE"/>
    <w:rsid w:val="001A1F85"/>
    <w:rsid w:val="001A3971"/>
    <w:rsid w:val="001A4973"/>
    <w:rsid w:val="001A5F76"/>
    <w:rsid w:val="001B7DF7"/>
    <w:rsid w:val="001C6418"/>
    <w:rsid w:val="001C6DEA"/>
    <w:rsid w:val="001C7503"/>
    <w:rsid w:val="001E0691"/>
    <w:rsid w:val="001F580F"/>
    <w:rsid w:val="001F6C33"/>
    <w:rsid w:val="002116E1"/>
    <w:rsid w:val="002176D1"/>
    <w:rsid w:val="00220D07"/>
    <w:rsid w:val="00225E0C"/>
    <w:rsid w:val="00226E11"/>
    <w:rsid w:val="00234D4C"/>
    <w:rsid w:val="0025348A"/>
    <w:rsid w:val="00257C93"/>
    <w:rsid w:val="0026319A"/>
    <w:rsid w:val="00267F5E"/>
    <w:rsid w:val="002709CE"/>
    <w:rsid w:val="00281A6B"/>
    <w:rsid w:val="00282B04"/>
    <w:rsid w:val="00291591"/>
    <w:rsid w:val="002924C5"/>
    <w:rsid w:val="002928E6"/>
    <w:rsid w:val="002A36C2"/>
    <w:rsid w:val="002A5578"/>
    <w:rsid w:val="002B1E8E"/>
    <w:rsid w:val="002B4EE1"/>
    <w:rsid w:val="002C087B"/>
    <w:rsid w:val="002C213F"/>
    <w:rsid w:val="002C6243"/>
    <w:rsid w:val="002D20F1"/>
    <w:rsid w:val="002D6540"/>
    <w:rsid w:val="002E6E68"/>
    <w:rsid w:val="002F23A5"/>
    <w:rsid w:val="002F373A"/>
    <w:rsid w:val="002F67E0"/>
    <w:rsid w:val="00300C65"/>
    <w:rsid w:val="003375C4"/>
    <w:rsid w:val="003405AF"/>
    <w:rsid w:val="003451EE"/>
    <w:rsid w:val="00350C9A"/>
    <w:rsid w:val="00355BA1"/>
    <w:rsid w:val="003563FA"/>
    <w:rsid w:val="003659C8"/>
    <w:rsid w:val="00374DE1"/>
    <w:rsid w:val="00386E28"/>
    <w:rsid w:val="003A389E"/>
    <w:rsid w:val="003B21BF"/>
    <w:rsid w:val="003B3495"/>
    <w:rsid w:val="003B63F7"/>
    <w:rsid w:val="003C02D3"/>
    <w:rsid w:val="003D14D0"/>
    <w:rsid w:val="003D3111"/>
    <w:rsid w:val="003D7064"/>
    <w:rsid w:val="003E1F6C"/>
    <w:rsid w:val="003E566A"/>
    <w:rsid w:val="003F50CF"/>
    <w:rsid w:val="00425A68"/>
    <w:rsid w:val="0042695D"/>
    <w:rsid w:val="00430557"/>
    <w:rsid w:val="00433620"/>
    <w:rsid w:val="00444879"/>
    <w:rsid w:val="00451AB5"/>
    <w:rsid w:val="00452E15"/>
    <w:rsid w:val="00453085"/>
    <w:rsid w:val="00461B48"/>
    <w:rsid w:val="004623C5"/>
    <w:rsid w:val="00467A2D"/>
    <w:rsid w:val="004715BD"/>
    <w:rsid w:val="00471D20"/>
    <w:rsid w:val="00480349"/>
    <w:rsid w:val="00493FA8"/>
    <w:rsid w:val="004A04D3"/>
    <w:rsid w:val="004A0CA1"/>
    <w:rsid w:val="004A3BC8"/>
    <w:rsid w:val="004B0AB2"/>
    <w:rsid w:val="004B22FE"/>
    <w:rsid w:val="004C2129"/>
    <w:rsid w:val="004D25AE"/>
    <w:rsid w:val="004D4243"/>
    <w:rsid w:val="004D4FDB"/>
    <w:rsid w:val="004D5339"/>
    <w:rsid w:val="004D5DA7"/>
    <w:rsid w:val="004D7449"/>
    <w:rsid w:val="004E12F1"/>
    <w:rsid w:val="004E1452"/>
    <w:rsid w:val="004E71C5"/>
    <w:rsid w:val="004F1688"/>
    <w:rsid w:val="0051087B"/>
    <w:rsid w:val="00510B6E"/>
    <w:rsid w:val="00511E16"/>
    <w:rsid w:val="005204F3"/>
    <w:rsid w:val="00522DBB"/>
    <w:rsid w:val="005365C2"/>
    <w:rsid w:val="00536E9F"/>
    <w:rsid w:val="005448DD"/>
    <w:rsid w:val="0055020F"/>
    <w:rsid w:val="00555382"/>
    <w:rsid w:val="005603B3"/>
    <w:rsid w:val="00570199"/>
    <w:rsid w:val="00570983"/>
    <w:rsid w:val="005729CF"/>
    <w:rsid w:val="00575CEB"/>
    <w:rsid w:val="00580B66"/>
    <w:rsid w:val="00582B2E"/>
    <w:rsid w:val="00583796"/>
    <w:rsid w:val="00585DDB"/>
    <w:rsid w:val="00586325"/>
    <w:rsid w:val="0059084C"/>
    <w:rsid w:val="005A09F5"/>
    <w:rsid w:val="005A1349"/>
    <w:rsid w:val="005B49D2"/>
    <w:rsid w:val="005C7443"/>
    <w:rsid w:val="005E4AB6"/>
    <w:rsid w:val="006060D4"/>
    <w:rsid w:val="006102B4"/>
    <w:rsid w:val="0061278B"/>
    <w:rsid w:val="0061387E"/>
    <w:rsid w:val="00615DFF"/>
    <w:rsid w:val="006230BD"/>
    <w:rsid w:val="006253CE"/>
    <w:rsid w:val="0063046D"/>
    <w:rsid w:val="006323CE"/>
    <w:rsid w:val="00633C37"/>
    <w:rsid w:val="00634828"/>
    <w:rsid w:val="006515B2"/>
    <w:rsid w:val="00653802"/>
    <w:rsid w:val="00663D5E"/>
    <w:rsid w:val="00665C88"/>
    <w:rsid w:val="006825EF"/>
    <w:rsid w:val="00691CAE"/>
    <w:rsid w:val="006A0419"/>
    <w:rsid w:val="006A2F43"/>
    <w:rsid w:val="006A6AE7"/>
    <w:rsid w:val="006B22D1"/>
    <w:rsid w:val="006B3D6C"/>
    <w:rsid w:val="006C05DD"/>
    <w:rsid w:val="006C788A"/>
    <w:rsid w:val="006D1DC8"/>
    <w:rsid w:val="006D4687"/>
    <w:rsid w:val="006E48E8"/>
    <w:rsid w:val="006E5C8C"/>
    <w:rsid w:val="006E6811"/>
    <w:rsid w:val="006E7B85"/>
    <w:rsid w:val="006F2C01"/>
    <w:rsid w:val="00702615"/>
    <w:rsid w:val="007026F0"/>
    <w:rsid w:val="007031F7"/>
    <w:rsid w:val="0070611D"/>
    <w:rsid w:val="007061A6"/>
    <w:rsid w:val="00715FB5"/>
    <w:rsid w:val="00724B83"/>
    <w:rsid w:val="007250E2"/>
    <w:rsid w:val="007364B2"/>
    <w:rsid w:val="007401E1"/>
    <w:rsid w:val="007407A5"/>
    <w:rsid w:val="00741EE6"/>
    <w:rsid w:val="00743FC3"/>
    <w:rsid w:val="00744CF5"/>
    <w:rsid w:val="007605D5"/>
    <w:rsid w:val="00760FB5"/>
    <w:rsid w:val="00761F1B"/>
    <w:rsid w:val="00767683"/>
    <w:rsid w:val="00770CFA"/>
    <w:rsid w:val="00771B1B"/>
    <w:rsid w:val="00771B95"/>
    <w:rsid w:val="0077248B"/>
    <w:rsid w:val="007803A2"/>
    <w:rsid w:val="00790139"/>
    <w:rsid w:val="007B6425"/>
    <w:rsid w:val="007C2DC3"/>
    <w:rsid w:val="007C45A7"/>
    <w:rsid w:val="007C5550"/>
    <w:rsid w:val="007D0DFF"/>
    <w:rsid w:val="007D3D65"/>
    <w:rsid w:val="007D62A8"/>
    <w:rsid w:val="007D79BF"/>
    <w:rsid w:val="007D7F63"/>
    <w:rsid w:val="007E24A1"/>
    <w:rsid w:val="007E5B71"/>
    <w:rsid w:val="007E7CE2"/>
    <w:rsid w:val="00800FAD"/>
    <w:rsid w:val="00807276"/>
    <w:rsid w:val="0081222B"/>
    <w:rsid w:val="00813E76"/>
    <w:rsid w:val="00822412"/>
    <w:rsid w:val="00822A42"/>
    <w:rsid w:val="00822DDF"/>
    <w:rsid w:val="00823151"/>
    <w:rsid w:val="00825316"/>
    <w:rsid w:val="008336E8"/>
    <w:rsid w:val="0083619C"/>
    <w:rsid w:val="00840AA9"/>
    <w:rsid w:val="0084161D"/>
    <w:rsid w:val="00842B5F"/>
    <w:rsid w:val="008440E6"/>
    <w:rsid w:val="00847A67"/>
    <w:rsid w:val="0085216C"/>
    <w:rsid w:val="008569AD"/>
    <w:rsid w:val="0086527E"/>
    <w:rsid w:val="00871366"/>
    <w:rsid w:val="0087336E"/>
    <w:rsid w:val="00882CC8"/>
    <w:rsid w:val="00897EC5"/>
    <w:rsid w:val="008A1AF4"/>
    <w:rsid w:val="008A6E36"/>
    <w:rsid w:val="008A7E97"/>
    <w:rsid w:val="008B497A"/>
    <w:rsid w:val="008C557E"/>
    <w:rsid w:val="008C6929"/>
    <w:rsid w:val="008D0349"/>
    <w:rsid w:val="008D4D67"/>
    <w:rsid w:val="008D6D44"/>
    <w:rsid w:val="008D7388"/>
    <w:rsid w:val="008E4C7D"/>
    <w:rsid w:val="008F1194"/>
    <w:rsid w:val="008F44F4"/>
    <w:rsid w:val="008F5B3D"/>
    <w:rsid w:val="009046CE"/>
    <w:rsid w:val="00905590"/>
    <w:rsid w:val="009055E6"/>
    <w:rsid w:val="00913F31"/>
    <w:rsid w:val="00926FF0"/>
    <w:rsid w:val="00931FE2"/>
    <w:rsid w:val="00933F41"/>
    <w:rsid w:val="00940503"/>
    <w:rsid w:val="00941809"/>
    <w:rsid w:val="00972A72"/>
    <w:rsid w:val="00980EA5"/>
    <w:rsid w:val="009A1EF2"/>
    <w:rsid w:val="009A260B"/>
    <w:rsid w:val="009B6475"/>
    <w:rsid w:val="009C2568"/>
    <w:rsid w:val="009D0CAD"/>
    <w:rsid w:val="009D11A2"/>
    <w:rsid w:val="009D4399"/>
    <w:rsid w:val="009D5D32"/>
    <w:rsid w:val="009E66A1"/>
    <w:rsid w:val="009F00F3"/>
    <w:rsid w:val="009F729E"/>
    <w:rsid w:val="00A066BF"/>
    <w:rsid w:val="00A21C6F"/>
    <w:rsid w:val="00A2439F"/>
    <w:rsid w:val="00A2452D"/>
    <w:rsid w:val="00A24C4D"/>
    <w:rsid w:val="00A309B3"/>
    <w:rsid w:val="00A33294"/>
    <w:rsid w:val="00A33C66"/>
    <w:rsid w:val="00A35E2E"/>
    <w:rsid w:val="00A4097C"/>
    <w:rsid w:val="00A50D45"/>
    <w:rsid w:val="00A551C5"/>
    <w:rsid w:val="00A6124C"/>
    <w:rsid w:val="00A6720D"/>
    <w:rsid w:val="00A76820"/>
    <w:rsid w:val="00A86F0D"/>
    <w:rsid w:val="00A87059"/>
    <w:rsid w:val="00A917A4"/>
    <w:rsid w:val="00AA3FD2"/>
    <w:rsid w:val="00AA7CE8"/>
    <w:rsid w:val="00AB50B7"/>
    <w:rsid w:val="00AC0576"/>
    <w:rsid w:val="00AC1D3D"/>
    <w:rsid w:val="00AC41FA"/>
    <w:rsid w:val="00AD160F"/>
    <w:rsid w:val="00AD34EF"/>
    <w:rsid w:val="00AD3FFB"/>
    <w:rsid w:val="00AD473C"/>
    <w:rsid w:val="00AE136C"/>
    <w:rsid w:val="00AE37CA"/>
    <w:rsid w:val="00AE7ABF"/>
    <w:rsid w:val="00AF1A0C"/>
    <w:rsid w:val="00AF3B8F"/>
    <w:rsid w:val="00B02D87"/>
    <w:rsid w:val="00B05A86"/>
    <w:rsid w:val="00B062B5"/>
    <w:rsid w:val="00B06E67"/>
    <w:rsid w:val="00B133EA"/>
    <w:rsid w:val="00B15136"/>
    <w:rsid w:val="00B21FF3"/>
    <w:rsid w:val="00B240BA"/>
    <w:rsid w:val="00B3012C"/>
    <w:rsid w:val="00B30600"/>
    <w:rsid w:val="00B35F53"/>
    <w:rsid w:val="00B46B0F"/>
    <w:rsid w:val="00B51B32"/>
    <w:rsid w:val="00B54743"/>
    <w:rsid w:val="00B6378B"/>
    <w:rsid w:val="00B64E4F"/>
    <w:rsid w:val="00B650EC"/>
    <w:rsid w:val="00B75AE6"/>
    <w:rsid w:val="00B769D1"/>
    <w:rsid w:val="00B7731A"/>
    <w:rsid w:val="00B81844"/>
    <w:rsid w:val="00B87059"/>
    <w:rsid w:val="00B92165"/>
    <w:rsid w:val="00B94185"/>
    <w:rsid w:val="00BA5056"/>
    <w:rsid w:val="00BA635E"/>
    <w:rsid w:val="00BB4A32"/>
    <w:rsid w:val="00BB56BA"/>
    <w:rsid w:val="00BC2160"/>
    <w:rsid w:val="00BD52D1"/>
    <w:rsid w:val="00BD657F"/>
    <w:rsid w:val="00BF0674"/>
    <w:rsid w:val="00BF19F8"/>
    <w:rsid w:val="00BF3EB8"/>
    <w:rsid w:val="00BF58F4"/>
    <w:rsid w:val="00C01637"/>
    <w:rsid w:val="00C04737"/>
    <w:rsid w:val="00C066F7"/>
    <w:rsid w:val="00C12912"/>
    <w:rsid w:val="00C348CC"/>
    <w:rsid w:val="00C35A1E"/>
    <w:rsid w:val="00C426F1"/>
    <w:rsid w:val="00C43F44"/>
    <w:rsid w:val="00C45818"/>
    <w:rsid w:val="00C516DF"/>
    <w:rsid w:val="00C52B7E"/>
    <w:rsid w:val="00C63D8B"/>
    <w:rsid w:val="00C65DB9"/>
    <w:rsid w:val="00C67409"/>
    <w:rsid w:val="00C72187"/>
    <w:rsid w:val="00C849CE"/>
    <w:rsid w:val="00C90D12"/>
    <w:rsid w:val="00CA1F62"/>
    <w:rsid w:val="00CA73E6"/>
    <w:rsid w:val="00CB23A1"/>
    <w:rsid w:val="00CB26FF"/>
    <w:rsid w:val="00CB2B1D"/>
    <w:rsid w:val="00CB5A7B"/>
    <w:rsid w:val="00CB73B0"/>
    <w:rsid w:val="00CE2BE1"/>
    <w:rsid w:val="00CE59FE"/>
    <w:rsid w:val="00CE5BE4"/>
    <w:rsid w:val="00CF1789"/>
    <w:rsid w:val="00CF3EF7"/>
    <w:rsid w:val="00CF5758"/>
    <w:rsid w:val="00CF68F6"/>
    <w:rsid w:val="00CF7D2D"/>
    <w:rsid w:val="00D02603"/>
    <w:rsid w:val="00D05846"/>
    <w:rsid w:val="00D17929"/>
    <w:rsid w:val="00D23F27"/>
    <w:rsid w:val="00D44269"/>
    <w:rsid w:val="00D46976"/>
    <w:rsid w:val="00D4754A"/>
    <w:rsid w:val="00D504DC"/>
    <w:rsid w:val="00D572C5"/>
    <w:rsid w:val="00D62A5F"/>
    <w:rsid w:val="00D64153"/>
    <w:rsid w:val="00D72011"/>
    <w:rsid w:val="00D83269"/>
    <w:rsid w:val="00D867B2"/>
    <w:rsid w:val="00D93619"/>
    <w:rsid w:val="00DA6062"/>
    <w:rsid w:val="00DB5540"/>
    <w:rsid w:val="00DB6280"/>
    <w:rsid w:val="00DC0A0D"/>
    <w:rsid w:val="00DC311D"/>
    <w:rsid w:val="00DC4400"/>
    <w:rsid w:val="00DD7F04"/>
    <w:rsid w:val="00DF0C92"/>
    <w:rsid w:val="00E0104D"/>
    <w:rsid w:val="00E03440"/>
    <w:rsid w:val="00E065E3"/>
    <w:rsid w:val="00E06FAD"/>
    <w:rsid w:val="00E135E1"/>
    <w:rsid w:val="00E276D5"/>
    <w:rsid w:val="00E27B28"/>
    <w:rsid w:val="00E33DDA"/>
    <w:rsid w:val="00E403A2"/>
    <w:rsid w:val="00E411D0"/>
    <w:rsid w:val="00E417EF"/>
    <w:rsid w:val="00E4584A"/>
    <w:rsid w:val="00E5167B"/>
    <w:rsid w:val="00E53779"/>
    <w:rsid w:val="00E57B0E"/>
    <w:rsid w:val="00E62379"/>
    <w:rsid w:val="00E64E34"/>
    <w:rsid w:val="00E71C9A"/>
    <w:rsid w:val="00E734BB"/>
    <w:rsid w:val="00E801F4"/>
    <w:rsid w:val="00E811FA"/>
    <w:rsid w:val="00E81DDE"/>
    <w:rsid w:val="00E84BBC"/>
    <w:rsid w:val="00E9030E"/>
    <w:rsid w:val="00E91548"/>
    <w:rsid w:val="00EA1CE1"/>
    <w:rsid w:val="00EA6CDA"/>
    <w:rsid w:val="00EB4CDD"/>
    <w:rsid w:val="00EC0BFE"/>
    <w:rsid w:val="00EC159A"/>
    <w:rsid w:val="00EC505D"/>
    <w:rsid w:val="00EE329B"/>
    <w:rsid w:val="00EE72C0"/>
    <w:rsid w:val="00EF4F11"/>
    <w:rsid w:val="00EF5F2C"/>
    <w:rsid w:val="00F0282D"/>
    <w:rsid w:val="00F05C24"/>
    <w:rsid w:val="00F119A4"/>
    <w:rsid w:val="00F21197"/>
    <w:rsid w:val="00F471E5"/>
    <w:rsid w:val="00F5048B"/>
    <w:rsid w:val="00F564E3"/>
    <w:rsid w:val="00F7369E"/>
    <w:rsid w:val="00F7414A"/>
    <w:rsid w:val="00F82838"/>
    <w:rsid w:val="00F83134"/>
    <w:rsid w:val="00F86A8F"/>
    <w:rsid w:val="00F86FF3"/>
    <w:rsid w:val="00F91617"/>
    <w:rsid w:val="00FA171B"/>
    <w:rsid w:val="00FB1B8C"/>
    <w:rsid w:val="00FB2FAE"/>
    <w:rsid w:val="00FB5106"/>
    <w:rsid w:val="00FB5974"/>
    <w:rsid w:val="00FC3810"/>
    <w:rsid w:val="00FC6E83"/>
    <w:rsid w:val="00FD2FFE"/>
    <w:rsid w:val="00FD6D3A"/>
    <w:rsid w:val="00FE58F3"/>
    <w:rsid w:val="00FE61C1"/>
    <w:rsid w:val="00FF1585"/>
    <w:rsid w:val="00FF1D63"/>
    <w:rsid w:val="00FF6DDB"/>
    <w:rsid w:val="00FF7ED5"/>
    <w:rsid w:val="00FF7E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495"/>
    <w:rPr>
      <w:lang w:val="en-US" w:eastAsia="en-US"/>
    </w:rPr>
  </w:style>
  <w:style w:type="paragraph" w:styleId="Heading1">
    <w:name w:val="heading 1"/>
    <w:basedOn w:val="Normal"/>
    <w:next w:val="Normal"/>
    <w:qFormat/>
    <w:rsid w:val="003B3495"/>
    <w:pPr>
      <w:keepNext/>
      <w:ind w:left="709" w:hanging="709"/>
      <w:jc w:val="center"/>
      <w:outlineLvl w:val="0"/>
    </w:pPr>
    <w:rPr>
      <w:rFonts w:ascii="Arial" w:hAnsi="Arial" w:cs="Arial"/>
      <w:b/>
      <w:smallCaps/>
      <w:sz w:val="32"/>
      <w:u w:val="single"/>
      <w:lang w:eastAsia="el-GR"/>
    </w:rPr>
  </w:style>
  <w:style w:type="paragraph" w:styleId="Heading2">
    <w:name w:val="heading 2"/>
    <w:basedOn w:val="Normal"/>
    <w:next w:val="Normal"/>
    <w:qFormat/>
    <w:rsid w:val="003B3495"/>
    <w:pPr>
      <w:keepNext/>
      <w:outlineLvl w:val="1"/>
    </w:pPr>
    <w:rPr>
      <w:b/>
      <w:sz w:val="24"/>
      <w:lang w:eastAsia="el-GR"/>
    </w:rPr>
  </w:style>
  <w:style w:type="paragraph" w:styleId="Heading3">
    <w:name w:val="heading 3"/>
    <w:basedOn w:val="Normal"/>
    <w:next w:val="Normal"/>
    <w:qFormat/>
    <w:rsid w:val="003B3495"/>
    <w:pPr>
      <w:keepNext/>
      <w:outlineLvl w:val="2"/>
    </w:pPr>
    <w:rPr>
      <w:rFonts w:ascii="Tahoma" w:hAnsi="Tahoma" w:cs="Tahoma"/>
      <w:b/>
      <w:bCs/>
      <w:i/>
      <w:iCs/>
      <w:sz w:val="22"/>
    </w:rPr>
  </w:style>
  <w:style w:type="paragraph" w:styleId="Heading4">
    <w:name w:val="heading 4"/>
    <w:basedOn w:val="Normal"/>
    <w:next w:val="Normal"/>
    <w:qFormat/>
    <w:rsid w:val="003B3495"/>
    <w:pPr>
      <w:keepNext/>
      <w:ind w:left="-142"/>
      <w:jc w:val="both"/>
      <w:outlineLvl w:val="3"/>
    </w:pPr>
    <w:rPr>
      <w:rFonts w:ascii="Tahoma" w:hAnsi="Tahoma" w:cs="Tahoma"/>
      <w:b/>
      <w:bCs/>
      <w:i/>
      <w:iCs/>
      <w:sz w:val="22"/>
    </w:rPr>
  </w:style>
  <w:style w:type="paragraph" w:styleId="Heading5">
    <w:name w:val="heading 5"/>
    <w:basedOn w:val="Normal"/>
    <w:next w:val="Normal"/>
    <w:qFormat/>
    <w:rsid w:val="003B3495"/>
    <w:pPr>
      <w:keepNext/>
      <w:jc w:val="center"/>
      <w:outlineLvl w:val="4"/>
    </w:pPr>
    <w:rPr>
      <w:rFonts w:ascii="Tahoma" w:hAnsi="Tahoma" w:cs="Tahoma"/>
      <w:b/>
      <w:smallCaps/>
      <w:sz w:val="24"/>
      <w:u w:val="single"/>
      <w:lang w:eastAsia="el-GR"/>
    </w:rPr>
  </w:style>
  <w:style w:type="paragraph" w:styleId="Heading6">
    <w:name w:val="heading 6"/>
    <w:basedOn w:val="Normal"/>
    <w:next w:val="Normal"/>
    <w:qFormat/>
    <w:rsid w:val="003B3495"/>
    <w:pPr>
      <w:keepNext/>
      <w:spacing w:before="240"/>
      <w:ind w:left="284" w:right="226"/>
      <w:jc w:val="both"/>
      <w:outlineLvl w:val="5"/>
    </w:pPr>
    <w:rPr>
      <w:rFonts w:ascii="Arial" w:hAnsi="Arial"/>
      <w:b/>
      <w:sz w:val="24"/>
      <w:lang w:eastAsia="el-GR"/>
    </w:rPr>
  </w:style>
  <w:style w:type="paragraph" w:styleId="Heading7">
    <w:name w:val="heading 7"/>
    <w:basedOn w:val="Normal"/>
    <w:next w:val="Normal"/>
    <w:qFormat/>
    <w:rsid w:val="003B3495"/>
    <w:pPr>
      <w:keepNext/>
      <w:ind w:right="561"/>
      <w:jc w:val="center"/>
      <w:outlineLvl w:val="6"/>
    </w:pPr>
    <w:rPr>
      <w:b/>
      <w:sz w:val="24"/>
      <w:lang w:val="en-GB" w:eastAsia="el-GR"/>
    </w:rPr>
  </w:style>
  <w:style w:type="paragraph" w:styleId="Heading8">
    <w:name w:val="heading 8"/>
    <w:basedOn w:val="Normal"/>
    <w:next w:val="Normal"/>
    <w:qFormat/>
    <w:rsid w:val="003B3495"/>
    <w:pPr>
      <w:keepNext/>
      <w:ind w:firstLine="284"/>
      <w:outlineLvl w:val="7"/>
    </w:pPr>
    <w:rPr>
      <w:b/>
      <w:smallCaps/>
      <w:sz w:val="28"/>
      <w:lang w:val="en-GB" w:eastAsia="el-GR"/>
    </w:rPr>
  </w:style>
  <w:style w:type="paragraph" w:styleId="Heading9">
    <w:name w:val="heading 9"/>
    <w:basedOn w:val="Normal"/>
    <w:next w:val="Normal"/>
    <w:qFormat/>
    <w:rsid w:val="003B3495"/>
    <w:pPr>
      <w:keepNext/>
      <w:spacing w:before="120"/>
      <w:ind w:left="288"/>
      <w:outlineLvl w:val="8"/>
    </w:pPr>
    <w:rPr>
      <w:b/>
      <w:sz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Firstline">
    <w:name w:val="PR First line"/>
    <w:basedOn w:val="Normal"/>
    <w:next w:val="Normal"/>
    <w:rsid w:val="003B3495"/>
    <w:pPr>
      <w:suppressAutoHyphens/>
    </w:pPr>
    <w:rPr>
      <w:b/>
      <w:sz w:val="24"/>
      <w:u w:val="single"/>
    </w:rPr>
  </w:style>
  <w:style w:type="paragraph" w:customStyle="1" w:styleId="PRContact">
    <w:name w:val="PR Contact"/>
    <w:basedOn w:val="Normal"/>
    <w:rsid w:val="003B3495"/>
    <w:pPr>
      <w:tabs>
        <w:tab w:val="left" w:pos="3600"/>
        <w:tab w:val="left" w:pos="5040"/>
      </w:tabs>
      <w:suppressAutoHyphens/>
    </w:pPr>
    <w:rPr>
      <w:sz w:val="24"/>
    </w:rPr>
  </w:style>
  <w:style w:type="paragraph" w:styleId="Header">
    <w:name w:val="header"/>
    <w:basedOn w:val="Normal"/>
    <w:rsid w:val="003B3495"/>
    <w:pPr>
      <w:tabs>
        <w:tab w:val="center" w:pos="4320"/>
        <w:tab w:val="right" w:pos="8640"/>
      </w:tabs>
    </w:pPr>
  </w:style>
  <w:style w:type="paragraph" w:styleId="Footer">
    <w:name w:val="footer"/>
    <w:basedOn w:val="Normal"/>
    <w:rsid w:val="003B3495"/>
    <w:pPr>
      <w:tabs>
        <w:tab w:val="center" w:pos="4320"/>
        <w:tab w:val="right" w:pos="8640"/>
      </w:tabs>
    </w:pPr>
  </w:style>
  <w:style w:type="character" w:styleId="Hyperlink">
    <w:name w:val="Hyperlink"/>
    <w:rsid w:val="003B3495"/>
    <w:rPr>
      <w:color w:val="0000FF"/>
      <w:u w:val="single"/>
    </w:rPr>
  </w:style>
  <w:style w:type="character" w:styleId="FollowedHyperlink">
    <w:name w:val="FollowedHyperlink"/>
    <w:rsid w:val="003B3495"/>
    <w:rPr>
      <w:color w:val="800080"/>
      <w:u w:val="single"/>
    </w:rPr>
  </w:style>
  <w:style w:type="paragraph" w:customStyle="1" w:styleId="BodyText3-Contempora">
    <w:name w:val="Body Text 3 - Contempora"/>
    <w:basedOn w:val="Normal"/>
    <w:rsid w:val="003B3495"/>
    <w:pPr>
      <w:spacing w:line="200" w:lineRule="exact"/>
    </w:pPr>
    <w:rPr>
      <w:sz w:val="24"/>
      <w:lang w:val="en-GB" w:eastAsia="el-GR"/>
    </w:rPr>
  </w:style>
  <w:style w:type="paragraph" w:styleId="BodyText">
    <w:name w:val="Body Text"/>
    <w:basedOn w:val="Normal"/>
    <w:rsid w:val="003B3495"/>
    <w:pPr>
      <w:jc w:val="both"/>
    </w:pPr>
    <w:rPr>
      <w:rFonts w:ascii="Tahoma" w:hAnsi="Tahoma" w:cs="Tahoma"/>
      <w:iCs/>
    </w:rPr>
  </w:style>
  <w:style w:type="character" w:styleId="PageNumber">
    <w:name w:val="page number"/>
    <w:basedOn w:val="DefaultParagraphFont"/>
    <w:rsid w:val="003B3495"/>
  </w:style>
  <w:style w:type="paragraph" w:styleId="DocumentMap">
    <w:name w:val="Document Map"/>
    <w:basedOn w:val="Normal"/>
    <w:semiHidden/>
    <w:rsid w:val="003B3495"/>
    <w:pPr>
      <w:shd w:val="clear" w:color="auto" w:fill="000080"/>
    </w:pPr>
    <w:rPr>
      <w:rFonts w:ascii="Tahoma" w:hAnsi="Tahoma"/>
      <w:sz w:val="24"/>
      <w:lang w:eastAsia="el-GR"/>
    </w:rPr>
  </w:style>
  <w:style w:type="paragraph" w:styleId="TOC1">
    <w:name w:val="toc 1"/>
    <w:basedOn w:val="Normal"/>
    <w:next w:val="Normal"/>
    <w:autoRedefine/>
    <w:semiHidden/>
    <w:rsid w:val="003B3495"/>
    <w:pPr>
      <w:numPr>
        <w:numId w:val="1"/>
      </w:numPr>
      <w:tabs>
        <w:tab w:val="right" w:leader="dot" w:pos="8630"/>
      </w:tabs>
    </w:pPr>
    <w:rPr>
      <w:rFonts w:ascii="Times New Roman Bold" w:hAnsi="Times New Roman Bold"/>
      <w:b/>
      <w:smallCaps/>
      <w:noProof/>
      <w:snapToGrid w:val="0"/>
      <w:lang w:eastAsia="el-GR"/>
    </w:rPr>
  </w:style>
  <w:style w:type="paragraph" w:styleId="BodyText2">
    <w:name w:val="Body Text 2"/>
    <w:basedOn w:val="Normal"/>
    <w:rsid w:val="003B3495"/>
    <w:pPr>
      <w:jc w:val="both"/>
    </w:pPr>
    <w:rPr>
      <w:rFonts w:ascii="Arial" w:hAnsi="Arial"/>
      <w:sz w:val="24"/>
      <w:lang w:val="en-GB" w:eastAsia="el-GR"/>
    </w:rPr>
  </w:style>
  <w:style w:type="paragraph" w:customStyle="1" w:styleId="xl41">
    <w:name w:val="xl41"/>
    <w:basedOn w:val="Normal"/>
    <w:rsid w:val="003B3495"/>
    <w:pPr>
      <w:pBdr>
        <w:bottom w:val="single" w:sz="8" w:space="0" w:color="auto"/>
      </w:pBdr>
      <w:spacing w:before="100" w:after="100"/>
      <w:jc w:val="center"/>
    </w:pPr>
    <w:rPr>
      <w:rFonts w:eastAsia="Arial Unicode MS"/>
      <w:b/>
      <w:sz w:val="24"/>
      <w:lang w:val="el-GR" w:eastAsia="el-GR"/>
    </w:rPr>
  </w:style>
  <w:style w:type="paragraph" w:styleId="NormalWeb">
    <w:name w:val="Normal (Web)"/>
    <w:basedOn w:val="Normal"/>
    <w:rsid w:val="003B3495"/>
    <w:pPr>
      <w:spacing w:before="100" w:beforeAutospacing="1" w:after="100" w:afterAutospacing="1"/>
    </w:pPr>
    <w:rPr>
      <w:rFonts w:ascii="Arial Unicode MS" w:eastAsia="Arial Unicode MS" w:hAnsi="Arial Unicode MS" w:cs="Arial Unicode MS"/>
      <w:sz w:val="24"/>
      <w:szCs w:val="24"/>
      <w:lang w:val="el-GR" w:eastAsia="el-GR"/>
    </w:rPr>
  </w:style>
  <w:style w:type="paragraph" w:customStyle="1" w:styleId="xl27">
    <w:name w:val="xl27"/>
    <w:basedOn w:val="Normal"/>
    <w:rsid w:val="003B3495"/>
    <w:pPr>
      <w:pBdr>
        <w:left w:val="single" w:sz="8" w:space="0" w:color="auto"/>
      </w:pBdr>
      <w:spacing w:before="100" w:beforeAutospacing="1" w:after="100" w:afterAutospacing="1"/>
    </w:pPr>
    <w:rPr>
      <w:rFonts w:ascii="PA-SansSerif" w:eastAsia="Arial Unicode MS" w:hAnsi="PA-SansSerif" w:cs="Arial Unicode MS"/>
      <w:b/>
      <w:bCs/>
      <w:sz w:val="12"/>
      <w:szCs w:val="12"/>
      <w:lang w:val="el-GR" w:eastAsia="el-GR"/>
    </w:rPr>
  </w:style>
  <w:style w:type="paragraph" w:styleId="BodyTextIndent3">
    <w:name w:val="Body Text Indent 3"/>
    <w:basedOn w:val="Normal"/>
    <w:rsid w:val="003B3495"/>
    <w:pPr>
      <w:ind w:left="990" w:hanging="706"/>
    </w:pPr>
    <w:rPr>
      <w:sz w:val="24"/>
      <w:lang w:eastAsia="el-GR"/>
    </w:rPr>
  </w:style>
  <w:style w:type="paragraph" w:styleId="BlockText">
    <w:name w:val="Block Text"/>
    <w:basedOn w:val="Normal"/>
    <w:rsid w:val="003B3495"/>
    <w:pPr>
      <w:ind w:left="284" w:right="561"/>
      <w:jc w:val="both"/>
    </w:pPr>
    <w:rPr>
      <w:sz w:val="24"/>
      <w:lang w:val="en-GB" w:eastAsia="el-GR"/>
    </w:rPr>
  </w:style>
  <w:style w:type="paragraph" w:styleId="Caption">
    <w:name w:val="caption"/>
    <w:basedOn w:val="Normal"/>
    <w:next w:val="Normal"/>
    <w:qFormat/>
    <w:rsid w:val="003B3495"/>
    <w:pPr>
      <w:jc w:val="center"/>
    </w:pPr>
    <w:rPr>
      <w:sz w:val="24"/>
      <w:lang w:val="en-GB" w:eastAsia="el-GR"/>
    </w:rPr>
  </w:style>
  <w:style w:type="paragraph" w:customStyle="1" w:styleId="xl30">
    <w:name w:val="xl30"/>
    <w:basedOn w:val="Normal"/>
    <w:rsid w:val="003B3495"/>
    <w:pPr>
      <w:pBdr>
        <w:left w:val="single" w:sz="8" w:space="0" w:color="auto"/>
      </w:pBdr>
      <w:spacing w:before="100" w:beforeAutospacing="1" w:after="100" w:afterAutospacing="1"/>
    </w:pPr>
    <w:rPr>
      <w:rFonts w:ascii="PA-SansSerif" w:eastAsia="Arial Unicode MS" w:hAnsi="PA-SansSerif" w:cs="Arial Unicode MS"/>
      <w:sz w:val="12"/>
      <w:szCs w:val="12"/>
      <w:lang w:val="el-GR" w:eastAsia="el-GR"/>
    </w:rPr>
  </w:style>
  <w:style w:type="paragraph" w:customStyle="1" w:styleId="xl26">
    <w:name w:val="xl26"/>
    <w:basedOn w:val="Normal"/>
    <w:rsid w:val="003B3495"/>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Arial Unicode MS"/>
      <w:b/>
      <w:bCs/>
      <w:sz w:val="12"/>
      <w:szCs w:val="12"/>
      <w:lang w:val="el-GR" w:eastAsia="el-GR"/>
    </w:rPr>
  </w:style>
  <w:style w:type="paragraph" w:customStyle="1" w:styleId="BalloonText1">
    <w:name w:val="Balloon Text1"/>
    <w:basedOn w:val="Normal"/>
    <w:semiHidden/>
    <w:rsid w:val="003B3495"/>
    <w:rPr>
      <w:rFonts w:ascii="Tahoma" w:hAnsi="Tahoma" w:cs="Tahoma"/>
      <w:sz w:val="16"/>
      <w:szCs w:val="16"/>
    </w:rPr>
  </w:style>
  <w:style w:type="paragraph" w:styleId="BodyText3">
    <w:name w:val="Body Text 3"/>
    <w:basedOn w:val="Normal"/>
    <w:link w:val="BodyText3Char"/>
    <w:rsid w:val="003B3495"/>
    <w:pPr>
      <w:jc w:val="both"/>
    </w:pPr>
    <w:rPr>
      <w:rFonts w:ascii="Tahoma" w:hAnsi="Tahoma" w:cs="Tahoma"/>
      <w:sz w:val="18"/>
    </w:rPr>
  </w:style>
  <w:style w:type="paragraph" w:styleId="BodyTextIndent">
    <w:name w:val="Body Text Indent"/>
    <w:basedOn w:val="Normal"/>
    <w:rsid w:val="003B3495"/>
    <w:pPr>
      <w:ind w:left="1418"/>
      <w:jc w:val="both"/>
    </w:pPr>
    <w:rPr>
      <w:rFonts w:ascii="Tahoma" w:hAnsi="Tahoma" w:cs="Tahoma"/>
      <w:bCs/>
      <w:sz w:val="22"/>
    </w:rPr>
  </w:style>
  <w:style w:type="paragraph" w:styleId="BodyTextIndent2">
    <w:name w:val="Body Text Indent 2"/>
    <w:basedOn w:val="Normal"/>
    <w:rsid w:val="003B3495"/>
    <w:pPr>
      <w:ind w:left="1276"/>
      <w:jc w:val="both"/>
    </w:pPr>
    <w:rPr>
      <w:rFonts w:ascii="Tahoma" w:hAnsi="Tahoma" w:cs="Tahoma"/>
      <w:sz w:val="22"/>
    </w:rPr>
  </w:style>
  <w:style w:type="paragraph" w:customStyle="1" w:styleId="bodytext3-contempora0">
    <w:name w:val="bodytext3-contempora0"/>
    <w:basedOn w:val="Normal"/>
    <w:rsid w:val="003B3495"/>
    <w:rPr>
      <w:sz w:val="24"/>
      <w:szCs w:val="24"/>
      <w:lang w:val="el-GR" w:eastAsia="el-GR"/>
    </w:rPr>
  </w:style>
  <w:style w:type="character" w:styleId="Strong">
    <w:name w:val="Strong"/>
    <w:qFormat/>
    <w:rsid w:val="003B3495"/>
    <w:rPr>
      <w:b/>
      <w:bCs/>
    </w:rPr>
  </w:style>
  <w:style w:type="character" w:styleId="HTMLAcronym">
    <w:name w:val="HTML Acronym"/>
    <w:basedOn w:val="DefaultParagraphFont"/>
    <w:rsid w:val="0055020F"/>
  </w:style>
  <w:style w:type="paragraph" w:styleId="BalloonText">
    <w:name w:val="Balloon Text"/>
    <w:basedOn w:val="Normal"/>
    <w:semiHidden/>
    <w:rsid w:val="00575CEB"/>
    <w:rPr>
      <w:rFonts w:ascii="Tahoma" w:hAnsi="Tahoma" w:cs="Tahoma"/>
      <w:sz w:val="16"/>
      <w:szCs w:val="16"/>
    </w:rPr>
  </w:style>
  <w:style w:type="paragraph" w:customStyle="1" w:styleId="prcontact0">
    <w:name w:val="prcontact"/>
    <w:basedOn w:val="Normal"/>
    <w:rsid w:val="00056D61"/>
    <w:rPr>
      <w:sz w:val="24"/>
      <w:szCs w:val="24"/>
      <w:lang w:val="el-GR" w:eastAsia="el-GR"/>
    </w:rPr>
  </w:style>
  <w:style w:type="paragraph" w:customStyle="1" w:styleId="bodytext3-contempora1">
    <w:name w:val="bodytext3-contempora"/>
    <w:basedOn w:val="Normal"/>
    <w:rsid w:val="00056D61"/>
    <w:pPr>
      <w:spacing w:line="200" w:lineRule="atLeast"/>
    </w:pPr>
    <w:rPr>
      <w:sz w:val="24"/>
      <w:szCs w:val="24"/>
      <w:lang w:val="el-GR" w:eastAsia="el-GR"/>
    </w:rPr>
  </w:style>
  <w:style w:type="paragraph" w:customStyle="1" w:styleId="CharChar">
    <w:name w:val="Char Char"/>
    <w:basedOn w:val="Normal"/>
    <w:rsid w:val="001B7DF7"/>
    <w:pPr>
      <w:spacing w:after="160" w:line="240" w:lineRule="exact"/>
    </w:pPr>
    <w:rPr>
      <w:rFonts w:ascii="Verdana" w:hAnsi="Verdana"/>
    </w:rPr>
  </w:style>
  <w:style w:type="paragraph" w:customStyle="1" w:styleId="CharCharCharCharCharCharCharCharCharChar">
    <w:name w:val="Char Char Char Char Char Char Char Char Char Char"/>
    <w:basedOn w:val="Normal"/>
    <w:rsid w:val="00807276"/>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E403A2"/>
    <w:pPr>
      <w:spacing w:after="160" w:line="240" w:lineRule="exact"/>
    </w:pPr>
    <w:rPr>
      <w:rFonts w:ascii="Tahoma" w:hAnsi="Tahoma"/>
    </w:rPr>
  </w:style>
  <w:style w:type="paragraph" w:customStyle="1" w:styleId="Default">
    <w:name w:val="Default"/>
    <w:rsid w:val="00493FA8"/>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CB2B1D"/>
    <w:pPr>
      <w:spacing w:line="360" w:lineRule="auto"/>
      <w:ind w:left="720"/>
      <w:contextualSpacing/>
      <w:jc w:val="both"/>
    </w:pPr>
    <w:rPr>
      <w:rFonts w:ascii="Arial" w:hAnsi="Arial"/>
      <w:sz w:val="24"/>
      <w:lang w:val="fr-FR" w:eastAsia="el-GR"/>
    </w:rPr>
  </w:style>
  <w:style w:type="paragraph" w:customStyle="1" w:styleId="CharCharCharChar1CharCharCharCharCharChar1CharCharCharCharCharCharCharCharCharCharCharCharCharCharCharCharCharCharCharCharCharCharCharCharCharChar0">
    <w:name w:val="Char Char Char Char1 Char Char Char Char Char Char1 Char Char Char Char Char Char Char Char Char Char Char Char Char Char Char Char Char Char Char Char Char Char Char Char Char Char"/>
    <w:basedOn w:val="Normal"/>
    <w:rsid w:val="00CB2B1D"/>
    <w:pPr>
      <w:spacing w:after="160" w:line="240" w:lineRule="exact"/>
    </w:pPr>
    <w:rPr>
      <w:rFonts w:ascii="Tahoma" w:hAnsi="Tahoma"/>
    </w:rPr>
  </w:style>
  <w:style w:type="character" w:customStyle="1" w:styleId="BodyText3Char">
    <w:name w:val="Body Text 3 Char"/>
    <w:link w:val="BodyText3"/>
    <w:rsid w:val="00823151"/>
    <w:rPr>
      <w:rFonts w:ascii="Tahoma" w:hAnsi="Tahoma" w:cs="Tahoma"/>
      <w:sz w:val="18"/>
      <w:lang w:val="en-US" w:eastAsia="en-US"/>
    </w:rPr>
  </w:style>
  <w:style w:type="paragraph" w:styleId="CommentText">
    <w:name w:val="annotation text"/>
    <w:basedOn w:val="Normal"/>
    <w:link w:val="CommentTextChar"/>
    <w:unhideWhenUsed/>
    <w:rsid w:val="00DD7F04"/>
    <w:rPr>
      <w:lang w:val="en-GB"/>
    </w:rPr>
  </w:style>
  <w:style w:type="character" w:customStyle="1" w:styleId="CommentTextChar">
    <w:name w:val="Comment Text Char"/>
    <w:link w:val="CommentText"/>
    <w:rsid w:val="00DD7F04"/>
    <w:rPr>
      <w:lang w:val="en-GB" w:eastAsia="en-US"/>
    </w:rPr>
  </w:style>
  <w:style w:type="character" w:styleId="CommentReference">
    <w:name w:val="annotation reference"/>
    <w:unhideWhenUsed/>
    <w:rsid w:val="00DD7F04"/>
    <w:rPr>
      <w:sz w:val="16"/>
      <w:szCs w:val="16"/>
    </w:rPr>
  </w:style>
  <w:style w:type="paragraph" w:styleId="CommentSubject">
    <w:name w:val="annotation subject"/>
    <w:basedOn w:val="CommentText"/>
    <w:next w:val="CommentText"/>
    <w:link w:val="CommentSubjectChar"/>
    <w:rsid w:val="00D44269"/>
    <w:rPr>
      <w:b/>
      <w:bCs/>
      <w:lang w:val="en-US"/>
    </w:rPr>
  </w:style>
  <w:style w:type="character" w:customStyle="1" w:styleId="CommentSubjectChar">
    <w:name w:val="Comment Subject Char"/>
    <w:basedOn w:val="CommentTextChar"/>
    <w:link w:val="CommentSubject"/>
    <w:rsid w:val="00D44269"/>
    <w:rPr>
      <w:b/>
      <w:bCs/>
      <w:lang w:val="en-US" w:eastAsia="en-US"/>
    </w:rPr>
  </w:style>
  <w:style w:type="paragraph" w:customStyle="1" w:styleId="CharCharCharChar1CharCharCharCharCharChar1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w:basedOn w:val="Normal"/>
    <w:rsid w:val="00C72187"/>
    <w:pPr>
      <w:spacing w:after="160" w:line="240" w:lineRule="exact"/>
    </w:pPr>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3495"/>
    <w:rPr>
      <w:lang w:val="en-US" w:eastAsia="en-US"/>
    </w:rPr>
  </w:style>
  <w:style w:type="paragraph" w:styleId="Heading1">
    <w:name w:val="heading 1"/>
    <w:basedOn w:val="Normal"/>
    <w:next w:val="Normal"/>
    <w:qFormat/>
    <w:rsid w:val="003B3495"/>
    <w:pPr>
      <w:keepNext/>
      <w:ind w:left="709" w:hanging="709"/>
      <w:jc w:val="center"/>
      <w:outlineLvl w:val="0"/>
    </w:pPr>
    <w:rPr>
      <w:rFonts w:ascii="Arial" w:hAnsi="Arial" w:cs="Arial"/>
      <w:b/>
      <w:smallCaps/>
      <w:sz w:val="32"/>
      <w:u w:val="single"/>
      <w:lang w:eastAsia="el-GR"/>
    </w:rPr>
  </w:style>
  <w:style w:type="paragraph" w:styleId="Heading2">
    <w:name w:val="heading 2"/>
    <w:basedOn w:val="Normal"/>
    <w:next w:val="Normal"/>
    <w:qFormat/>
    <w:rsid w:val="003B3495"/>
    <w:pPr>
      <w:keepNext/>
      <w:outlineLvl w:val="1"/>
    </w:pPr>
    <w:rPr>
      <w:b/>
      <w:sz w:val="24"/>
      <w:lang w:eastAsia="el-GR"/>
    </w:rPr>
  </w:style>
  <w:style w:type="paragraph" w:styleId="Heading3">
    <w:name w:val="heading 3"/>
    <w:basedOn w:val="Normal"/>
    <w:next w:val="Normal"/>
    <w:qFormat/>
    <w:rsid w:val="003B3495"/>
    <w:pPr>
      <w:keepNext/>
      <w:outlineLvl w:val="2"/>
    </w:pPr>
    <w:rPr>
      <w:rFonts w:ascii="Tahoma" w:hAnsi="Tahoma" w:cs="Tahoma"/>
      <w:b/>
      <w:bCs/>
      <w:i/>
      <w:iCs/>
      <w:sz w:val="22"/>
    </w:rPr>
  </w:style>
  <w:style w:type="paragraph" w:styleId="Heading4">
    <w:name w:val="heading 4"/>
    <w:basedOn w:val="Normal"/>
    <w:next w:val="Normal"/>
    <w:qFormat/>
    <w:rsid w:val="003B3495"/>
    <w:pPr>
      <w:keepNext/>
      <w:ind w:left="-142"/>
      <w:jc w:val="both"/>
      <w:outlineLvl w:val="3"/>
    </w:pPr>
    <w:rPr>
      <w:rFonts w:ascii="Tahoma" w:hAnsi="Tahoma" w:cs="Tahoma"/>
      <w:b/>
      <w:bCs/>
      <w:i/>
      <w:iCs/>
      <w:sz w:val="22"/>
    </w:rPr>
  </w:style>
  <w:style w:type="paragraph" w:styleId="Heading5">
    <w:name w:val="heading 5"/>
    <w:basedOn w:val="Normal"/>
    <w:next w:val="Normal"/>
    <w:qFormat/>
    <w:rsid w:val="003B3495"/>
    <w:pPr>
      <w:keepNext/>
      <w:jc w:val="center"/>
      <w:outlineLvl w:val="4"/>
    </w:pPr>
    <w:rPr>
      <w:rFonts w:ascii="Tahoma" w:hAnsi="Tahoma" w:cs="Tahoma"/>
      <w:b/>
      <w:smallCaps/>
      <w:sz w:val="24"/>
      <w:u w:val="single"/>
      <w:lang w:eastAsia="el-GR"/>
    </w:rPr>
  </w:style>
  <w:style w:type="paragraph" w:styleId="Heading6">
    <w:name w:val="heading 6"/>
    <w:basedOn w:val="Normal"/>
    <w:next w:val="Normal"/>
    <w:qFormat/>
    <w:rsid w:val="003B3495"/>
    <w:pPr>
      <w:keepNext/>
      <w:spacing w:before="240"/>
      <w:ind w:left="284" w:right="226"/>
      <w:jc w:val="both"/>
      <w:outlineLvl w:val="5"/>
    </w:pPr>
    <w:rPr>
      <w:rFonts w:ascii="Arial" w:hAnsi="Arial"/>
      <w:b/>
      <w:sz w:val="24"/>
      <w:lang w:eastAsia="el-GR"/>
    </w:rPr>
  </w:style>
  <w:style w:type="paragraph" w:styleId="Heading7">
    <w:name w:val="heading 7"/>
    <w:basedOn w:val="Normal"/>
    <w:next w:val="Normal"/>
    <w:qFormat/>
    <w:rsid w:val="003B3495"/>
    <w:pPr>
      <w:keepNext/>
      <w:ind w:right="561"/>
      <w:jc w:val="center"/>
      <w:outlineLvl w:val="6"/>
    </w:pPr>
    <w:rPr>
      <w:b/>
      <w:sz w:val="24"/>
      <w:lang w:val="en-GB" w:eastAsia="el-GR"/>
    </w:rPr>
  </w:style>
  <w:style w:type="paragraph" w:styleId="Heading8">
    <w:name w:val="heading 8"/>
    <w:basedOn w:val="Normal"/>
    <w:next w:val="Normal"/>
    <w:qFormat/>
    <w:rsid w:val="003B3495"/>
    <w:pPr>
      <w:keepNext/>
      <w:ind w:firstLine="284"/>
      <w:outlineLvl w:val="7"/>
    </w:pPr>
    <w:rPr>
      <w:b/>
      <w:smallCaps/>
      <w:sz w:val="28"/>
      <w:lang w:val="en-GB" w:eastAsia="el-GR"/>
    </w:rPr>
  </w:style>
  <w:style w:type="paragraph" w:styleId="Heading9">
    <w:name w:val="heading 9"/>
    <w:basedOn w:val="Normal"/>
    <w:next w:val="Normal"/>
    <w:qFormat/>
    <w:rsid w:val="003B3495"/>
    <w:pPr>
      <w:keepNext/>
      <w:spacing w:before="120"/>
      <w:ind w:left="288"/>
      <w:outlineLvl w:val="8"/>
    </w:pPr>
    <w:rPr>
      <w:b/>
      <w:sz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Firstline">
    <w:name w:val="PR First line"/>
    <w:basedOn w:val="Normal"/>
    <w:next w:val="Normal"/>
    <w:rsid w:val="003B3495"/>
    <w:pPr>
      <w:suppressAutoHyphens/>
    </w:pPr>
    <w:rPr>
      <w:b/>
      <w:sz w:val="24"/>
      <w:u w:val="single"/>
    </w:rPr>
  </w:style>
  <w:style w:type="paragraph" w:customStyle="1" w:styleId="PRContact">
    <w:name w:val="PR Contact"/>
    <w:basedOn w:val="Normal"/>
    <w:rsid w:val="003B3495"/>
    <w:pPr>
      <w:tabs>
        <w:tab w:val="left" w:pos="3600"/>
        <w:tab w:val="left" w:pos="5040"/>
      </w:tabs>
      <w:suppressAutoHyphens/>
    </w:pPr>
    <w:rPr>
      <w:sz w:val="24"/>
    </w:rPr>
  </w:style>
  <w:style w:type="paragraph" w:styleId="Header">
    <w:name w:val="header"/>
    <w:basedOn w:val="Normal"/>
    <w:rsid w:val="003B3495"/>
    <w:pPr>
      <w:tabs>
        <w:tab w:val="center" w:pos="4320"/>
        <w:tab w:val="right" w:pos="8640"/>
      </w:tabs>
    </w:pPr>
  </w:style>
  <w:style w:type="paragraph" w:styleId="Footer">
    <w:name w:val="footer"/>
    <w:basedOn w:val="Normal"/>
    <w:rsid w:val="003B3495"/>
    <w:pPr>
      <w:tabs>
        <w:tab w:val="center" w:pos="4320"/>
        <w:tab w:val="right" w:pos="8640"/>
      </w:tabs>
    </w:pPr>
  </w:style>
  <w:style w:type="character" w:styleId="Hyperlink">
    <w:name w:val="Hyperlink"/>
    <w:rsid w:val="003B3495"/>
    <w:rPr>
      <w:color w:val="0000FF"/>
      <w:u w:val="single"/>
    </w:rPr>
  </w:style>
  <w:style w:type="character" w:styleId="FollowedHyperlink">
    <w:name w:val="FollowedHyperlink"/>
    <w:rsid w:val="003B3495"/>
    <w:rPr>
      <w:color w:val="800080"/>
      <w:u w:val="single"/>
    </w:rPr>
  </w:style>
  <w:style w:type="paragraph" w:customStyle="1" w:styleId="BodyText3-Contempora">
    <w:name w:val="Body Text 3 - Contempora"/>
    <w:basedOn w:val="Normal"/>
    <w:rsid w:val="003B3495"/>
    <w:pPr>
      <w:spacing w:line="200" w:lineRule="exact"/>
    </w:pPr>
    <w:rPr>
      <w:sz w:val="24"/>
      <w:lang w:val="en-GB" w:eastAsia="el-GR"/>
    </w:rPr>
  </w:style>
  <w:style w:type="paragraph" w:styleId="BodyText">
    <w:name w:val="Body Text"/>
    <w:basedOn w:val="Normal"/>
    <w:rsid w:val="003B3495"/>
    <w:pPr>
      <w:jc w:val="both"/>
    </w:pPr>
    <w:rPr>
      <w:rFonts w:ascii="Tahoma" w:hAnsi="Tahoma" w:cs="Tahoma"/>
      <w:iCs/>
    </w:rPr>
  </w:style>
  <w:style w:type="character" w:styleId="PageNumber">
    <w:name w:val="page number"/>
    <w:basedOn w:val="DefaultParagraphFont"/>
    <w:rsid w:val="003B3495"/>
  </w:style>
  <w:style w:type="paragraph" w:styleId="DocumentMap">
    <w:name w:val="Document Map"/>
    <w:basedOn w:val="Normal"/>
    <w:semiHidden/>
    <w:rsid w:val="003B3495"/>
    <w:pPr>
      <w:shd w:val="clear" w:color="auto" w:fill="000080"/>
    </w:pPr>
    <w:rPr>
      <w:rFonts w:ascii="Tahoma" w:hAnsi="Tahoma"/>
      <w:sz w:val="24"/>
      <w:lang w:eastAsia="el-GR"/>
    </w:rPr>
  </w:style>
  <w:style w:type="paragraph" w:styleId="TOC1">
    <w:name w:val="toc 1"/>
    <w:basedOn w:val="Normal"/>
    <w:next w:val="Normal"/>
    <w:autoRedefine/>
    <w:semiHidden/>
    <w:rsid w:val="003B3495"/>
    <w:pPr>
      <w:numPr>
        <w:numId w:val="1"/>
      </w:numPr>
      <w:tabs>
        <w:tab w:val="right" w:leader="dot" w:pos="8630"/>
      </w:tabs>
    </w:pPr>
    <w:rPr>
      <w:rFonts w:ascii="Times New Roman Bold" w:hAnsi="Times New Roman Bold"/>
      <w:b/>
      <w:smallCaps/>
      <w:noProof/>
      <w:snapToGrid w:val="0"/>
      <w:lang w:eastAsia="el-GR"/>
    </w:rPr>
  </w:style>
  <w:style w:type="paragraph" w:styleId="BodyText2">
    <w:name w:val="Body Text 2"/>
    <w:basedOn w:val="Normal"/>
    <w:rsid w:val="003B3495"/>
    <w:pPr>
      <w:jc w:val="both"/>
    </w:pPr>
    <w:rPr>
      <w:rFonts w:ascii="Arial" w:hAnsi="Arial"/>
      <w:sz w:val="24"/>
      <w:lang w:val="en-GB" w:eastAsia="el-GR"/>
    </w:rPr>
  </w:style>
  <w:style w:type="paragraph" w:customStyle="1" w:styleId="xl41">
    <w:name w:val="xl41"/>
    <w:basedOn w:val="Normal"/>
    <w:rsid w:val="003B3495"/>
    <w:pPr>
      <w:pBdr>
        <w:bottom w:val="single" w:sz="8" w:space="0" w:color="auto"/>
      </w:pBdr>
      <w:spacing w:before="100" w:after="100"/>
      <w:jc w:val="center"/>
    </w:pPr>
    <w:rPr>
      <w:rFonts w:eastAsia="Arial Unicode MS"/>
      <w:b/>
      <w:sz w:val="24"/>
      <w:lang w:val="el-GR" w:eastAsia="el-GR"/>
    </w:rPr>
  </w:style>
  <w:style w:type="paragraph" w:styleId="NormalWeb">
    <w:name w:val="Normal (Web)"/>
    <w:basedOn w:val="Normal"/>
    <w:rsid w:val="003B3495"/>
    <w:pPr>
      <w:spacing w:before="100" w:beforeAutospacing="1" w:after="100" w:afterAutospacing="1"/>
    </w:pPr>
    <w:rPr>
      <w:rFonts w:ascii="Arial Unicode MS" w:eastAsia="Arial Unicode MS" w:hAnsi="Arial Unicode MS" w:cs="Arial Unicode MS"/>
      <w:sz w:val="24"/>
      <w:szCs w:val="24"/>
      <w:lang w:val="el-GR" w:eastAsia="el-GR"/>
    </w:rPr>
  </w:style>
  <w:style w:type="paragraph" w:customStyle="1" w:styleId="xl27">
    <w:name w:val="xl27"/>
    <w:basedOn w:val="Normal"/>
    <w:rsid w:val="003B3495"/>
    <w:pPr>
      <w:pBdr>
        <w:left w:val="single" w:sz="8" w:space="0" w:color="auto"/>
      </w:pBdr>
      <w:spacing w:before="100" w:beforeAutospacing="1" w:after="100" w:afterAutospacing="1"/>
    </w:pPr>
    <w:rPr>
      <w:rFonts w:ascii="PA-SansSerif" w:eastAsia="Arial Unicode MS" w:hAnsi="PA-SansSerif" w:cs="Arial Unicode MS"/>
      <w:b/>
      <w:bCs/>
      <w:sz w:val="12"/>
      <w:szCs w:val="12"/>
      <w:lang w:val="el-GR" w:eastAsia="el-GR"/>
    </w:rPr>
  </w:style>
  <w:style w:type="paragraph" w:styleId="BodyTextIndent3">
    <w:name w:val="Body Text Indent 3"/>
    <w:basedOn w:val="Normal"/>
    <w:rsid w:val="003B3495"/>
    <w:pPr>
      <w:ind w:left="990" w:hanging="706"/>
    </w:pPr>
    <w:rPr>
      <w:sz w:val="24"/>
      <w:lang w:eastAsia="el-GR"/>
    </w:rPr>
  </w:style>
  <w:style w:type="paragraph" w:styleId="BlockText">
    <w:name w:val="Block Text"/>
    <w:basedOn w:val="Normal"/>
    <w:rsid w:val="003B3495"/>
    <w:pPr>
      <w:ind w:left="284" w:right="561"/>
      <w:jc w:val="both"/>
    </w:pPr>
    <w:rPr>
      <w:sz w:val="24"/>
      <w:lang w:val="en-GB" w:eastAsia="el-GR"/>
    </w:rPr>
  </w:style>
  <w:style w:type="paragraph" w:styleId="Caption">
    <w:name w:val="caption"/>
    <w:basedOn w:val="Normal"/>
    <w:next w:val="Normal"/>
    <w:qFormat/>
    <w:rsid w:val="003B3495"/>
    <w:pPr>
      <w:jc w:val="center"/>
    </w:pPr>
    <w:rPr>
      <w:sz w:val="24"/>
      <w:lang w:val="en-GB" w:eastAsia="el-GR"/>
    </w:rPr>
  </w:style>
  <w:style w:type="paragraph" w:customStyle="1" w:styleId="xl30">
    <w:name w:val="xl30"/>
    <w:basedOn w:val="Normal"/>
    <w:rsid w:val="003B3495"/>
    <w:pPr>
      <w:pBdr>
        <w:left w:val="single" w:sz="8" w:space="0" w:color="auto"/>
      </w:pBdr>
      <w:spacing w:before="100" w:beforeAutospacing="1" w:after="100" w:afterAutospacing="1"/>
    </w:pPr>
    <w:rPr>
      <w:rFonts w:ascii="PA-SansSerif" w:eastAsia="Arial Unicode MS" w:hAnsi="PA-SansSerif" w:cs="Arial Unicode MS"/>
      <w:sz w:val="12"/>
      <w:szCs w:val="12"/>
      <w:lang w:val="el-GR" w:eastAsia="el-GR"/>
    </w:rPr>
  </w:style>
  <w:style w:type="paragraph" w:customStyle="1" w:styleId="xl26">
    <w:name w:val="xl26"/>
    <w:basedOn w:val="Normal"/>
    <w:rsid w:val="003B3495"/>
    <w:pPr>
      <w:pBdr>
        <w:top w:val="single" w:sz="8" w:space="0" w:color="auto"/>
        <w:bottom w:val="single" w:sz="8" w:space="0" w:color="auto"/>
        <w:right w:val="single" w:sz="8" w:space="0" w:color="auto"/>
      </w:pBdr>
      <w:spacing w:before="100" w:beforeAutospacing="1" w:after="100" w:afterAutospacing="1"/>
    </w:pPr>
    <w:rPr>
      <w:rFonts w:ascii="PA-SansSerif" w:eastAsia="Arial Unicode MS" w:hAnsi="PA-SansSerif" w:cs="Arial Unicode MS"/>
      <w:b/>
      <w:bCs/>
      <w:sz w:val="12"/>
      <w:szCs w:val="12"/>
      <w:lang w:val="el-GR" w:eastAsia="el-GR"/>
    </w:rPr>
  </w:style>
  <w:style w:type="paragraph" w:customStyle="1" w:styleId="BalloonText1">
    <w:name w:val="Balloon Text1"/>
    <w:basedOn w:val="Normal"/>
    <w:semiHidden/>
    <w:rsid w:val="003B3495"/>
    <w:rPr>
      <w:rFonts w:ascii="Tahoma" w:hAnsi="Tahoma" w:cs="Tahoma"/>
      <w:sz w:val="16"/>
      <w:szCs w:val="16"/>
    </w:rPr>
  </w:style>
  <w:style w:type="paragraph" w:styleId="BodyText3">
    <w:name w:val="Body Text 3"/>
    <w:basedOn w:val="Normal"/>
    <w:link w:val="BodyText3Char"/>
    <w:rsid w:val="003B3495"/>
    <w:pPr>
      <w:jc w:val="both"/>
    </w:pPr>
    <w:rPr>
      <w:rFonts w:ascii="Tahoma" w:hAnsi="Tahoma" w:cs="Tahoma"/>
      <w:sz w:val="18"/>
    </w:rPr>
  </w:style>
  <w:style w:type="paragraph" w:styleId="BodyTextIndent">
    <w:name w:val="Body Text Indent"/>
    <w:basedOn w:val="Normal"/>
    <w:rsid w:val="003B3495"/>
    <w:pPr>
      <w:ind w:left="1418"/>
      <w:jc w:val="both"/>
    </w:pPr>
    <w:rPr>
      <w:rFonts w:ascii="Tahoma" w:hAnsi="Tahoma" w:cs="Tahoma"/>
      <w:bCs/>
      <w:sz w:val="22"/>
    </w:rPr>
  </w:style>
  <w:style w:type="paragraph" w:styleId="BodyTextIndent2">
    <w:name w:val="Body Text Indent 2"/>
    <w:basedOn w:val="Normal"/>
    <w:rsid w:val="003B3495"/>
    <w:pPr>
      <w:ind w:left="1276"/>
      <w:jc w:val="both"/>
    </w:pPr>
    <w:rPr>
      <w:rFonts w:ascii="Tahoma" w:hAnsi="Tahoma" w:cs="Tahoma"/>
      <w:sz w:val="22"/>
    </w:rPr>
  </w:style>
  <w:style w:type="paragraph" w:customStyle="1" w:styleId="bodytext3-contempora0">
    <w:name w:val="bodytext3-contempora0"/>
    <w:basedOn w:val="Normal"/>
    <w:rsid w:val="003B3495"/>
    <w:rPr>
      <w:sz w:val="24"/>
      <w:szCs w:val="24"/>
      <w:lang w:val="el-GR" w:eastAsia="el-GR"/>
    </w:rPr>
  </w:style>
  <w:style w:type="character" w:styleId="Strong">
    <w:name w:val="Strong"/>
    <w:qFormat/>
    <w:rsid w:val="003B3495"/>
    <w:rPr>
      <w:b/>
      <w:bCs/>
    </w:rPr>
  </w:style>
  <w:style w:type="character" w:styleId="HTMLAcronym">
    <w:name w:val="HTML Acronym"/>
    <w:basedOn w:val="DefaultParagraphFont"/>
    <w:rsid w:val="0055020F"/>
  </w:style>
  <w:style w:type="paragraph" w:styleId="BalloonText">
    <w:name w:val="Balloon Text"/>
    <w:basedOn w:val="Normal"/>
    <w:semiHidden/>
    <w:rsid w:val="00575CEB"/>
    <w:rPr>
      <w:rFonts w:ascii="Tahoma" w:hAnsi="Tahoma" w:cs="Tahoma"/>
      <w:sz w:val="16"/>
      <w:szCs w:val="16"/>
    </w:rPr>
  </w:style>
  <w:style w:type="paragraph" w:customStyle="1" w:styleId="prcontact0">
    <w:name w:val="prcontact"/>
    <w:basedOn w:val="Normal"/>
    <w:rsid w:val="00056D61"/>
    <w:rPr>
      <w:sz w:val="24"/>
      <w:szCs w:val="24"/>
      <w:lang w:val="el-GR" w:eastAsia="el-GR"/>
    </w:rPr>
  </w:style>
  <w:style w:type="paragraph" w:customStyle="1" w:styleId="bodytext3-contempora1">
    <w:name w:val="bodytext3-contempora"/>
    <w:basedOn w:val="Normal"/>
    <w:rsid w:val="00056D61"/>
    <w:pPr>
      <w:spacing w:line="200" w:lineRule="atLeast"/>
    </w:pPr>
    <w:rPr>
      <w:sz w:val="24"/>
      <w:szCs w:val="24"/>
      <w:lang w:val="el-GR" w:eastAsia="el-GR"/>
    </w:rPr>
  </w:style>
  <w:style w:type="paragraph" w:customStyle="1" w:styleId="CharChar">
    <w:name w:val="Char Char"/>
    <w:basedOn w:val="Normal"/>
    <w:rsid w:val="001B7DF7"/>
    <w:pPr>
      <w:spacing w:after="160" w:line="240" w:lineRule="exact"/>
    </w:pPr>
    <w:rPr>
      <w:rFonts w:ascii="Verdana" w:hAnsi="Verdana"/>
    </w:rPr>
  </w:style>
  <w:style w:type="paragraph" w:customStyle="1" w:styleId="CharCharCharCharCharCharCharCharCharChar">
    <w:name w:val="Char Char Char Char Char Char Char Char Char Char"/>
    <w:basedOn w:val="Normal"/>
    <w:rsid w:val="00807276"/>
    <w:pPr>
      <w:spacing w:after="160" w:line="240" w:lineRule="exact"/>
    </w:pPr>
    <w:rPr>
      <w:rFonts w:ascii="Tahoma" w:hAnsi="Tahoma"/>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rsid w:val="00E403A2"/>
    <w:pPr>
      <w:spacing w:after="160" w:line="240" w:lineRule="exact"/>
    </w:pPr>
    <w:rPr>
      <w:rFonts w:ascii="Tahoma" w:hAnsi="Tahoma"/>
    </w:rPr>
  </w:style>
  <w:style w:type="paragraph" w:customStyle="1" w:styleId="Default">
    <w:name w:val="Default"/>
    <w:rsid w:val="00493FA8"/>
    <w:pPr>
      <w:autoSpaceDE w:val="0"/>
      <w:autoSpaceDN w:val="0"/>
      <w:adjustRightInd w:val="0"/>
    </w:pPr>
    <w:rPr>
      <w:rFonts w:ascii="Bookman Old Style" w:hAnsi="Bookman Old Style" w:cs="Bookman Old Style"/>
      <w:color w:val="000000"/>
      <w:sz w:val="24"/>
      <w:szCs w:val="24"/>
    </w:rPr>
  </w:style>
  <w:style w:type="paragraph" w:styleId="ListParagraph">
    <w:name w:val="List Paragraph"/>
    <w:basedOn w:val="Normal"/>
    <w:uiPriority w:val="34"/>
    <w:qFormat/>
    <w:rsid w:val="00CB2B1D"/>
    <w:pPr>
      <w:spacing w:line="360" w:lineRule="auto"/>
      <w:ind w:left="720"/>
      <w:contextualSpacing/>
      <w:jc w:val="both"/>
    </w:pPr>
    <w:rPr>
      <w:rFonts w:ascii="Arial" w:hAnsi="Arial"/>
      <w:sz w:val="24"/>
      <w:lang w:val="fr-FR" w:eastAsia="el-GR"/>
    </w:rPr>
  </w:style>
  <w:style w:type="paragraph" w:customStyle="1" w:styleId="CharCharCharChar1CharCharCharCharCharChar1CharCharCharCharCharCharCharCharCharCharCharCharCharCharCharCharCharCharCharCharCharCharCharCharCharChar0">
    <w:name w:val="Char Char Char Char1 Char Char Char Char Char Char1 Char Char Char Char Char Char Char Char Char Char Char Char Char Char Char Char Char Char Char Char Char Char Char Char Char Char"/>
    <w:basedOn w:val="Normal"/>
    <w:rsid w:val="00CB2B1D"/>
    <w:pPr>
      <w:spacing w:after="160" w:line="240" w:lineRule="exact"/>
    </w:pPr>
    <w:rPr>
      <w:rFonts w:ascii="Tahoma" w:hAnsi="Tahoma"/>
    </w:rPr>
  </w:style>
  <w:style w:type="character" w:customStyle="1" w:styleId="BodyText3Char">
    <w:name w:val="Body Text 3 Char"/>
    <w:link w:val="BodyText3"/>
    <w:rsid w:val="00823151"/>
    <w:rPr>
      <w:rFonts w:ascii="Tahoma" w:hAnsi="Tahoma" w:cs="Tahoma"/>
      <w:sz w:val="18"/>
      <w:lang w:val="en-US" w:eastAsia="en-US"/>
    </w:rPr>
  </w:style>
  <w:style w:type="paragraph" w:styleId="CommentText">
    <w:name w:val="annotation text"/>
    <w:basedOn w:val="Normal"/>
    <w:link w:val="CommentTextChar"/>
    <w:unhideWhenUsed/>
    <w:rsid w:val="00DD7F04"/>
    <w:rPr>
      <w:lang w:val="en-GB"/>
    </w:rPr>
  </w:style>
  <w:style w:type="character" w:customStyle="1" w:styleId="CommentTextChar">
    <w:name w:val="Comment Text Char"/>
    <w:link w:val="CommentText"/>
    <w:rsid w:val="00DD7F04"/>
    <w:rPr>
      <w:lang w:val="en-GB" w:eastAsia="en-US"/>
    </w:rPr>
  </w:style>
  <w:style w:type="character" w:styleId="CommentReference">
    <w:name w:val="annotation reference"/>
    <w:unhideWhenUsed/>
    <w:rsid w:val="00DD7F04"/>
    <w:rPr>
      <w:sz w:val="16"/>
      <w:szCs w:val="16"/>
    </w:rPr>
  </w:style>
  <w:style w:type="paragraph" w:styleId="CommentSubject">
    <w:name w:val="annotation subject"/>
    <w:basedOn w:val="CommentText"/>
    <w:next w:val="CommentText"/>
    <w:link w:val="CommentSubjectChar"/>
    <w:rsid w:val="00D44269"/>
    <w:rPr>
      <w:b/>
      <w:bCs/>
      <w:lang w:val="en-US"/>
    </w:rPr>
  </w:style>
  <w:style w:type="character" w:customStyle="1" w:styleId="CommentSubjectChar">
    <w:name w:val="Comment Subject Char"/>
    <w:basedOn w:val="CommentTextChar"/>
    <w:link w:val="CommentSubject"/>
    <w:rsid w:val="00D44269"/>
    <w:rPr>
      <w:b/>
      <w:bCs/>
      <w:lang w:val="en-US" w:eastAsia="en-US"/>
    </w:rPr>
  </w:style>
  <w:style w:type="paragraph" w:customStyle="1" w:styleId="CharCharCharChar1CharCharCharCharCharChar1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w:basedOn w:val="Normal"/>
    <w:rsid w:val="00C72187"/>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6553">
      <w:bodyDiv w:val="1"/>
      <w:marLeft w:val="0"/>
      <w:marRight w:val="0"/>
      <w:marTop w:val="0"/>
      <w:marBottom w:val="0"/>
      <w:divBdr>
        <w:top w:val="none" w:sz="0" w:space="0" w:color="auto"/>
        <w:left w:val="none" w:sz="0" w:space="0" w:color="auto"/>
        <w:bottom w:val="none" w:sz="0" w:space="0" w:color="auto"/>
        <w:right w:val="none" w:sz="0" w:space="0" w:color="auto"/>
      </w:divBdr>
    </w:div>
    <w:div w:id="395783951">
      <w:bodyDiv w:val="1"/>
      <w:marLeft w:val="0"/>
      <w:marRight w:val="0"/>
      <w:marTop w:val="0"/>
      <w:marBottom w:val="0"/>
      <w:divBdr>
        <w:top w:val="none" w:sz="0" w:space="0" w:color="auto"/>
        <w:left w:val="none" w:sz="0" w:space="0" w:color="auto"/>
        <w:bottom w:val="none" w:sz="0" w:space="0" w:color="auto"/>
        <w:right w:val="none" w:sz="0" w:space="0" w:color="auto"/>
      </w:divBdr>
      <w:divsChild>
        <w:div w:id="114373537">
          <w:marLeft w:val="0"/>
          <w:marRight w:val="0"/>
          <w:marTop w:val="0"/>
          <w:marBottom w:val="0"/>
          <w:divBdr>
            <w:top w:val="none" w:sz="0" w:space="0" w:color="auto"/>
            <w:left w:val="none" w:sz="0" w:space="0" w:color="auto"/>
            <w:bottom w:val="single" w:sz="8" w:space="1" w:color="000080"/>
            <w:right w:val="none" w:sz="0" w:space="0" w:color="auto"/>
          </w:divBdr>
        </w:div>
        <w:div w:id="866452319">
          <w:marLeft w:val="0"/>
          <w:marRight w:val="0"/>
          <w:marTop w:val="0"/>
          <w:marBottom w:val="0"/>
          <w:divBdr>
            <w:top w:val="none" w:sz="0" w:space="0" w:color="auto"/>
            <w:left w:val="none" w:sz="0" w:space="0" w:color="auto"/>
            <w:bottom w:val="single" w:sz="8" w:space="1" w:color="000080"/>
            <w:right w:val="none" w:sz="0" w:space="0" w:color="auto"/>
          </w:divBdr>
        </w:div>
        <w:div w:id="1331256894">
          <w:marLeft w:val="0"/>
          <w:marRight w:val="0"/>
          <w:marTop w:val="0"/>
          <w:marBottom w:val="0"/>
          <w:divBdr>
            <w:top w:val="none" w:sz="0" w:space="0" w:color="auto"/>
            <w:left w:val="none" w:sz="0" w:space="0" w:color="auto"/>
            <w:bottom w:val="single" w:sz="8" w:space="1" w:color="auto"/>
            <w:right w:val="none" w:sz="0" w:space="0" w:color="auto"/>
          </w:divBdr>
        </w:div>
        <w:div w:id="1702589782">
          <w:marLeft w:val="0"/>
          <w:marRight w:val="0"/>
          <w:marTop w:val="0"/>
          <w:marBottom w:val="0"/>
          <w:divBdr>
            <w:top w:val="single" w:sz="8" w:space="1" w:color="000080"/>
            <w:left w:val="none" w:sz="0" w:space="0" w:color="auto"/>
            <w:bottom w:val="none" w:sz="0" w:space="0" w:color="auto"/>
            <w:right w:val="none" w:sz="0" w:space="0" w:color="auto"/>
          </w:divBdr>
        </w:div>
      </w:divsChild>
    </w:div>
    <w:div w:id="842360684">
      <w:bodyDiv w:val="1"/>
      <w:marLeft w:val="0"/>
      <w:marRight w:val="0"/>
      <w:marTop w:val="0"/>
      <w:marBottom w:val="0"/>
      <w:divBdr>
        <w:top w:val="none" w:sz="0" w:space="0" w:color="auto"/>
        <w:left w:val="none" w:sz="0" w:space="0" w:color="auto"/>
        <w:bottom w:val="none" w:sz="0" w:space="0" w:color="auto"/>
        <w:right w:val="none" w:sz="0" w:space="0" w:color="auto"/>
      </w:divBdr>
    </w:div>
    <w:div w:id="849370823">
      <w:bodyDiv w:val="1"/>
      <w:marLeft w:val="0"/>
      <w:marRight w:val="0"/>
      <w:marTop w:val="0"/>
      <w:marBottom w:val="0"/>
      <w:divBdr>
        <w:top w:val="none" w:sz="0" w:space="0" w:color="auto"/>
        <w:left w:val="none" w:sz="0" w:space="0" w:color="auto"/>
        <w:bottom w:val="none" w:sz="0" w:space="0" w:color="auto"/>
        <w:right w:val="none" w:sz="0" w:space="0" w:color="auto"/>
      </w:divBdr>
      <w:divsChild>
        <w:div w:id="922565637">
          <w:marLeft w:val="0"/>
          <w:marRight w:val="0"/>
          <w:marTop w:val="0"/>
          <w:marBottom w:val="0"/>
          <w:divBdr>
            <w:top w:val="none" w:sz="0" w:space="0" w:color="auto"/>
            <w:left w:val="none" w:sz="0" w:space="0" w:color="auto"/>
            <w:bottom w:val="single" w:sz="8" w:space="1" w:color="auto"/>
            <w:right w:val="none" w:sz="0" w:space="0" w:color="auto"/>
          </w:divBdr>
        </w:div>
        <w:div w:id="1189641226">
          <w:marLeft w:val="0"/>
          <w:marRight w:val="0"/>
          <w:marTop w:val="0"/>
          <w:marBottom w:val="0"/>
          <w:divBdr>
            <w:top w:val="none" w:sz="0" w:space="0" w:color="auto"/>
            <w:left w:val="none" w:sz="0" w:space="0" w:color="auto"/>
            <w:bottom w:val="single" w:sz="8" w:space="1" w:color="000080"/>
            <w:right w:val="none" w:sz="0" w:space="0" w:color="auto"/>
          </w:divBdr>
        </w:div>
        <w:div w:id="1606188726">
          <w:marLeft w:val="0"/>
          <w:marRight w:val="0"/>
          <w:marTop w:val="0"/>
          <w:marBottom w:val="0"/>
          <w:divBdr>
            <w:top w:val="none" w:sz="0" w:space="0" w:color="auto"/>
            <w:left w:val="none" w:sz="0" w:space="0" w:color="auto"/>
            <w:bottom w:val="single" w:sz="8" w:space="1" w:color="000080"/>
            <w:right w:val="none" w:sz="0" w:space="0" w:color="auto"/>
          </w:divBdr>
        </w:div>
        <w:div w:id="1892576449">
          <w:marLeft w:val="0"/>
          <w:marRight w:val="0"/>
          <w:marTop w:val="0"/>
          <w:marBottom w:val="0"/>
          <w:divBdr>
            <w:top w:val="single" w:sz="8" w:space="1" w:color="000080"/>
            <w:left w:val="none" w:sz="0" w:space="0" w:color="auto"/>
            <w:bottom w:val="none" w:sz="0" w:space="0" w:color="auto"/>
            <w:right w:val="none" w:sz="0" w:space="0" w:color="auto"/>
          </w:divBdr>
        </w:div>
      </w:divsChild>
    </w:div>
    <w:div w:id="967278076">
      <w:bodyDiv w:val="1"/>
      <w:marLeft w:val="0"/>
      <w:marRight w:val="0"/>
      <w:marTop w:val="0"/>
      <w:marBottom w:val="0"/>
      <w:divBdr>
        <w:top w:val="none" w:sz="0" w:space="0" w:color="auto"/>
        <w:left w:val="none" w:sz="0" w:space="0" w:color="auto"/>
        <w:bottom w:val="none" w:sz="0" w:space="0" w:color="auto"/>
        <w:right w:val="none" w:sz="0" w:space="0" w:color="auto"/>
      </w:divBdr>
      <w:divsChild>
        <w:div w:id="398402208">
          <w:marLeft w:val="0"/>
          <w:marRight w:val="0"/>
          <w:marTop w:val="0"/>
          <w:marBottom w:val="0"/>
          <w:divBdr>
            <w:top w:val="none" w:sz="0" w:space="0" w:color="auto"/>
            <w:left w:val="none" w:sz="0" w:space="0" w:color="auto"/>
            <w:bottom w:val="single" w:sz="8" w:space="1" w:color="000080"/>
            <w:right w:val="none" w:sz="0" w:space="0" w:color="auto"/>
          </w:divBdr>
        </w:div>
        <w:div w:id="1011421051">
          <w:marLeft w:val="0"/>
          <w:marRight w:val="0"/>
          <w:marTop w:val="0"/>
          <w:marBottom w:val="0"/>
          <w:divBdr>
            <w:top w:val="single" w:sz="8" w:space="1" w:color="000080"/>
            <w:left w:val="none" w:sz="0" w:space="0" w:color="auto"/>
            <w:bottom w:val="none" w:sz="0" w:space="0" w:color="auto"/>
            <w:right w:val="none" w:sz="0" w:space="0" w:color="auto"/>
          </w:divBdr>
        </w:div>
        <w:div w:id="1519782120">
          <w:marLeft w:val="0"/>
          <w:marRight w:val="0"/>
          <w:marTop w:val="0"/>
          <w:marBottom w:val="0"/>
          <w:divBdr>
            <w:top w:val="none" w:sz="0" w:space="0" w:color="auto"/>
            <w:left w:val="none" w:sz="0" w:space="0" w:color="auto"/>
            <w:bottom w:val="single" w:sz="8" w:space="1" w:color="auto"/>
            <w:right w:val="none" w:sz="0" w:space="0" w:color="auto"/>
          </w:divBdr>
        </w:div>
        <w:div w:id="1870489918">
          <w:marLeft w:val="0"/>
          <w:marRight w:val="0"/>
          <w:marTop w:val="0"/>
          <w:marBottom w:val="0"/>
          <w:divBdr>
            <w:top w:val="none" w:sz="0" w:space="0" w:color="auto"/>
            <w:left w:val="none" w:sz="0" w:space="0" w:color="auto"/>
            <w:bottom w:val="single" w:sz="8" w:space="1" w:color="000080"/>
            <w:right w:val="none" w:sz="0" w:space="0" w:color="auto"/>
          </w:divBdr>
        </w:div>
      </w:divsChild>
    </w:div>
    <w:div w:id="1424178647">
      <w:bodyDiv w:val="1"/>
      <w:marLeft w:val="0"/>
      <w:marRight w:val="0"/>
      <w:marTop w:val="0"/>
      <w:marBottom w:val="0"/>
      <w:divBdr>
        <w:top w:val="none" w:sz="0" w:space="0" w:color="auto"/>
        <w:left w:val="none" w:sz="0" w:space="0" w:color="auto"/>
        <w:bottom w:val="none" w:sz="0" w:space="0" w:color="auto"/>
        <w:right w:val="none" w:sz="0" w:space="0" w:color="auto"/>
      </w:divBdr>
    </w:div>
    <w:div w:id="1960529998">
      <w:bodyDiv w:val="1"/>
      <w:marLeft w:val="0"/>
      <w:marRight w:val="0"/>
      <w:marTop w:val="0"/>
      <w:marBottom w:val="0"/>
      <w:divBdr>
        <w:top w:val="none" w:sz="0" w:space="0" w:color="auto"/>
        <w:left w:val="none" w:sz="0" w:space="0" w:color="auto"/>
        <w:bottom w:val="none" w:sz="0" w:space="0" w:color="auto"/>
        <w:right w:val="none" w:sz="0" w:space="0" w:color="auto"/>
      </w:divBdr>
      <w:divsChild>
        <w:div w:id="558637419">
          <w:marLeft w:val="0"/>
          <w:marRight w:val="0"/>
          <w:marTop w:val="0"/>
          <w:marBottom w:val="0"/>
          <w:divBdr>
            <w:top w:val="none" w:sz="0" w:space="0" w:color="auto"/>
            <w:left w:val="none" w:sz="0" w:space="0" w:color="auto"/>
            <w:bottom w:val="single" w:sz="8" w:space="1" w:color="000080"/>
            <w:right w:val="none" w:sz="0" w:space="0" w:color="auto"/>
          </w:divBdr>
        </w:div>
        <w:div w:id="676737969">
          <w:marLeft w:val="0"/>
          <w:marRight w:val="0"/>
          <w:marTop w:val="0"/>
          <w:marBottom w:val="0"/>
          <w:divBdr>
            <w:top w:val="none" w:sz="0" w:space="0" w:color="auto"/>
            <w:left w:val="none" w:sz="0" w:space="0" w:color="auto"/>
            <w:bottom w:val="single" w:sz="8" w:space="1" w:color="000080"/>
            <w:right w:val="none" w:sz="0" w:space="0" w:color="auto"/>
          </w:divBdr>
        </w:div>
        <w:div w:id="761416135">
          <w:marLeft w:val="0"/>
          <w:marRight w:val="0"/>
          <w:marTop w:val="0"/>
          <w:marBottom w:val="0"/>
          <w:divBdr>
            <w:top w:val="none" w:sz="0" w:space="0" w:color="auto"/>
            <w:left w:val="none" w:sz="0" w:space="0" w:color="auto"/>
            <w:bottom w:val="single" w:sz="8" w:space="1" w:color="auto"/>
            <w:right w:val="none" w:sz="0" w:space="0" w:color="auto"/>
          </w:divBdr>
        </w:div>
        <w:div w:id="1954441111">
          <w:marLeft w:val="0"/>
          <w:marRight w:val="0"/>
          <w:marTop w:val="0"/>
          <w:marBottom w:val="0"/>
          <w:divBdr>
            <w:top w:val="single" w:sz="8" w:space="1" w:color="000080"/>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mailto:cchatzigeo@ote.g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ziavra@ote.gr" TargetMode="External"/><Relationship Id="rId2" Type="http://schemas.openxmlformats.org/officeDocument/2006/relationships/customXml" Target="../customXml/item2.xml"/><Relationship Id="rId16" Type="http://schemas.openxmlformats.org/officeDocument/2006/relationships/hyperlink" Target="mailto:kmaselis@ote.gr" TargetMode="External"/><Relationship Id="rId20" Type="http://schemas.openxmlformats.org/officeDocument/2006/relationships/hyperlink" Target="mailto:mdelenika@cosmote.g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mtsavdaridou@ote.g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postolakis@ote.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sarsentis@ote.gr"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f661d59738324870b20991cb5f257540">
  <xsd:schema xmlns:xsd="http://www.w3.org/2001/XMLSchema" xmlns:xs="http://www.w3.org/2001/XMLSchema" xmlns:p="http://schemas.microsoft.com/office/2006/metadata/properties" xmlns:ns2="a63ba609-ed36-4a9e-b21f-a4dacc36b656" targetNamespace="http://schemas.microsoft.com/office/2006/metadata/properties" ma:root="true" ma:fieldsID="c500cda12503f1e3b5160083d93b6aa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60FC-AE83-42B6-96FA-83C6E6EBEAB1}">
  <ds:schemaRefs>
    <ds:schemaRef ds:uri="http://schemas.microsoft.com/sharepoint/v3/contenttype/forms"/>
  </ds:schemaRefs>
</ds:datastoreItem>
</file>

<file path=customXml/itemProps2.xml><?xml version="1.0" encoding="utf-8"?>
<ds:datastoreItem xmlns:ds="http://schemas.openxmlformats.org/officeDocument/2006/customXml" ds:itemID="{A9EAFCB7-8397-4865-9604-EB7B06B8C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F587C-29E5-4C50-B27A-70F9CE7A4788}">
  <ds:schemaRefs>
    <ds:schemaRef ds:uri="office.server.policy"/>
  </ds:schemaRefs>
</ds:datastoreItem>
</file>

<file path=customXml/itemProps4.xml><?xml version="1.0" encoding="utf-8"?>
<ds:datastoreItem xmlns:ds="http://schemas.openxmlformats.org/officeDocument/2006/customXml" ds:itemID="{D6A39138-3E93-40B7-8F6E-6D040C92AA66}">
  <ds:schemaRefs>
    <ds:schemaRef ds:uri="http://schemas.microsoft.com/office/2006/metadata/properties"/>
  </ds:schemaRefs>
</ds:datastoreItem>
</file>

<file path=customXml/itemProps5.xml><?xml version="1.0" encoding="utf-8"?>
<ds:datastoreItem xmlns:ds="http://schemas.openxmlformats.org/officeDocument/2006/customXml" ds:itemID="{F942FDFB-4086-44B0-A14E-791EFDE0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5894</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OTE Press Release</vt:lpstr>
      <vt:lpstr>OTE Press Release</vt:lpstr>
    </vt:vector>
  </TitlesOfParts>
  <Company>OTE</Company>
  <LinksUpToDate>false</LinksUpToDate>
  <CharactersWithSpaces>6972</CharactersWithSpaces>
  <SharedDoc>false</SharedDoc>
  <HLinks>
    <vt:vector size="42" baseType="variant">
      <vt:variant>
        <vt:i4>196649</vt:i4>
      </vt:variant>
      <vt:variant>
        <vt:i4>18</vt:i4>
      </vt:variant>
      <vt:variant>
        <vt:i4>0</vt:i4>
      </vt:variant>
      <vt:variant>
        <vt:i4>5</vt:i4>
      </vt:variant>
      <vt:variant>
        <vt:lpwstr>mailto:mapostolakis@ote.gr</vt:lpwstr>
      </vt:variant>
      <vt:variant>
        <vt:lpwstr/>
      </vt:variant>
      <vt:variant>
        <vt:i4>1900576</vt:i4>
      </vt:variant>
      <vt:variant>
        <vt:i4>15</vt:i4>
      </vt:variant>
      <vt:variant>
        <vt:i4>0</vt:i4>
      </vt:variant>
      <vt:variant>
        <vt:i4>5</vt:i4>
      </vt:variant>
      <vt:variant>
        <vt:lpwstr>mailto:eagoglossak@ote.gr</vt:lpwstr>
      </vt:variant>
      <vt:variant>
        <vt:lpwstr/>
      </vt:variant>
      <vt:variant>
        <vt:i4>7929943</vt:i4>
      </vt:variant>
      <vt:variant>
        <vt:i4>12</vt:i4>
      </vt:variant>
      <vt:variant>
        <vt:i4>0</vt:i4>
      </vt:variant>
      <vt:variant>
        <vt:i4>5</vt:i4>
      </vt:variant>
      <vt:variant>
        <vt:lpwstr>mailto:cchatzigeo@ote.gr</vt:lpwstr>
      </vt:variant>
      <vt:variant>
        <vt:lpwstr/>
      </vt:variant>
      <vt:variant>
        <vt:i4>131129</vt:i4>
      </vt:variant>
      <vt:variant>
        <vt:i4>9</vt:i4>
      </vt:variant>
      <vt:variant>
        <vt:i4>0</vt:i4>
      </vt:variant>
      <vt:variant>
        <vt:i4>5</vt:i4>
      </vt:variant>
      <vt:variant>
        <vt:lpwstr>mailto:sziavra@ote.gr</vt:lpwstr>
      </vt:variant>
      <vt:variant>
        <vt:lpwstr/>
      </vt:variant>
      <vt:variant>
        <vt:i4>786470</vt:i4>
      </vt:variant>
      <vt:variant>
        <vt:i4>6</vt:i4>
      </vt:variant>
      <vt:variant>
        <vt:i4>0</vt:i4>
      </vt:variant>
      <vt:variant>
        <vt:i4>5</vt:i4>
      </vt:variant>
      <vt:variant>
        <vt:lpwstr>mailto:kmaselis@ote.gr</vt:lpwstr>
      </vt:variant>
      <vt:variant>
        <vt:lpwstr/>
      </vt:variant>
      <vt:variant>
        <vt:i4>6357084</vt:i4>
      </vt:variant>
      <vt:variant>
        <vt:i4>3</vt:i4>
      </vt:variant>
      <vt:variant>
        <vt:i4>0</vt:i4>
      </vt:variant>
      <vt:variant>
        <vt:i4>5</vt:i4>
      </vt:variant>
      <vt:variant>
        <vt:lpwstr>mailto:dtsatsanis@ote.gr</vt:lpwstr>
      </vt:variant>
      <vt:variant>
        <vt:lpwstr/>
      </vt:variant>
      <vt:variant>
        <vt:i4>1441831</vt:i4>
      </vt:variant>
      <vt:variant>
        <vt:i4>0</vt:i4>
      </vt:variant>
      <vt:variant>
        <vt:i4>0</vt:i4>
      </vt:variant>
      <vt:variant>
        <vt:i4>5</vt:i4>
      </vt:variant>
      <vt:variant>
        <vt:lpwstr>mailto:grallis@ote.gr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OTE Press Release</dc:title>
  <dc:creator>OTE Investor Relations</dc:creator>
  <cp:lastModifiedBy>I.Tsaga</cp:lastModifiedBy>
  <cp:revision>2</cp:revision>
  <cp:lastPrinted>2014-12-23T17:22:00Z</cp:lastPrinted>
  <dcterms:created xsi:type="dcterms:W3CDTF">2015-06-12T15:44:00Z</dcterms:created>
  <dcterms:modified xsi:type="dcterms:W3CDTF">2015-06-12T15:44:00Z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