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F76" w:rsidRDefault="00234F76" w:rsidP="00652B77">
      <w:pPr>
        <w:widowControl/>
        <w:shd w:val="clear" w:color="auto" w:fill="FFFFFF"/>
        <w:spacing w:after="240" w:line="360" w:lineRule="auto"/>
        <w:jc w:val="center"/>
        <w:rPr>
          <w:rFonts w:ascii="Arial" w:hAnsi="Arial" w:cs="Arial"/>
          <w:b/>
          <w:bCs/>
          <w:color w:val="000000"/>
          <w:sz w:val="20"/>
          <w:szCs w:val="20"/>
          <w:u w:val="single"/>
          <w:lang w:eastAsia="el-GR"/>
        </w:rPr>
      </w:pPr>
      <w:r w:rsidRPr="00652B77">
        <w:rPr>
          <w:rFonts w:ascii="Arial" w:hAnsi="Arial" w:cs="Arial"/>
          <w:b/>
          <w:bCs/>
          <w:color w:val="000000"/>
          <w:sz w:val="20"/>
          <w:szCs w:val="20"/>
          <w:u w:val="single"/>
          <w:lang w:val="el-GR" w:eastAsia="el-GR"/>
        </w:rPr>
        <w:t>ΑΠΟΦΑΣΕΙΣ ΤΗΣ Β’ ΕΠΑΝΑΛΗΠΤΙΚΗΣ ΕΤΗΣΙΑΣ ΤΑΚΤΙΚΗΣ ΓΕΝΙΚΗΣ ΣΥΝΕΛΕΥΣΗΣ ΤΩΝ ΜΕΤΟΧΩΝ ΤΗΣ 22.07.2016</w:t>
      </w:r>
    </w:p>
    <w:p w:rsidR="00234F76" w:rsidRPr="00652B77" w:rsidRDefault="00234F76" w:rsidP="00652B77">
      <w:pPr>
        <w:widowControl/>
        <w:shd w:val="clear" w:color="auto" w:fill="FFFFFF"/>
        <w:spacing w:after="240" w:line="360" w:lineRule="auto"/>
        <w:jc w:val="both"/>
        <w:rPr>
          <w:rFonts w:ascii="Arial" w:hAnsi="Arial" w:cs="Arial"/>
          <w:color w:val="000000"/>
          <w:sz w:val="20"/>
          <w:szCs w:val="20"/>
          <w:lang w:val="el-GR" w:eastAsia="el-GR"/>
        </w:rPr>
      </w:pPr>
      <w:r w:rsidRPr="00652B77">
        <w:rPr>
          <w:rFonts w:ascii="Arial" w:hAnsi="Arial" w:cs="Arial"/>
          <w:color w:val="000000"/>
          <w:sz w:val="20"/>
          <w:szCs w:val="20"/>
          <w:lang w:val="el-GR" w:eastAsia="el-GR"/>
        </w:rPr>
        <w:t>Στην Τακτική Γενική Συνέλευση των Μετόχων που πραγματοποιήθηκε την 22.07.2016 στην έδρα της Εταιρείας (οδός Ελ.Βενιζέλου αρ.5, Μυτιλήνη 81100, Λέσβος), παρέστησαν μέτοχοι που εκπροσωπούσαν το 90,95% του μετοχικού κεφαλαίου της Εταιρείας ήτοι 232.332.265 μετοχές σε σύνολο 255.459.600 μετοχών του καταβεβλημένου μετοχικού κεφαλαίου και άρα υπήρχε η από τον νόμο απαιτούμενη απαρτία για την συζήτηση των θεμάτων της Ημερήσιας Διάταξης.</w:t>
      </w:r>
    </w:p>
    <w:p w:rsidR="00234F76" w:rsidRPr="00652B77" w:rsidRDefault="00234F76" w:rsidP="00652B77">
      <w:pPr>
        <w:widowControl/>
        <w:shd w:val="clear" w:color="auto" w:fill="FFFFFF"/>
        <w:spacing w:after="240" w:line="360" w:lineRule="auto"/>
        <w:jc w:val="both"/>
        <w:rPr>
          <w:rFonts w:ascii="Arial" w:hAnsi="Arial" w:cs="Arial"/>
          <w:b/>
          <w:bCs/>
          <w:sz w:val="20"/>
          <w:szCs w:val="20"/>
          <w:u w:val="single"/>
          <w:lang w:val="el-GR"/>
        </w:rPr>
      </w:pPr>
      <w:r w:rsidRPr="00652B77">
        <w:rPr>
          <w:rFonts w:ascii="Arial" w:hAnsi="Arial" w:cs="Arial"/>
          <w:b/>
          <w:bCs/>
          <w:sz w:val="20"/>
          <w:szCs w:val="20"/>
          <w:u w:val="single"/>
          <w:lang w:val="el-GR"/>
        </w:rPr>
        <w:t>Θέμα</w:t>
      </w:r>
      <w:r w:rsidRPr="00652B77">
        <w:rPr>
          <w:rFonts w:ascii="Arial" w:hAnsi="Arial" w:cs="Arial"/>
          <w:sz w:val="20"/>
          <w:szCs w:val="20"/>
          <w:u w:val="single"/>
          <w:lang w:val="el-GR"/>
        </w:rPr>
        <w:t xml:space="preserve"> </w:t>
      </w:r>
      <w:r w:rsidRPr="00652B77">
        <w:rPr>
          <w:rFonts w:ascii="Arial" w:hAnsi="Arial" w:cs="Arial"/>
          <w:b/>
          <w:bCs/>
          <w:sz w:val="20"/>
          <w:szCs w:val="20"/>
          <w:u w:val="single"/>
          <w:lang w:val="el-GR"/>
        </w:rPr>
        <w:t xml:space="preserve">1ο: </w:t>
      </w:r>
      <w:r w:rsidRPr="00652B77">
        <w:rPr>
          <w:rFonts w:ascii="Arial" w:hAnsi="Arial" w:cs="Arial"/>
          <w:sz w:val="20"/>
          <w:szCs w:val="20"/>
          <w:u w:val="single"/>
          <w:lang w:val="el-GR"/>
        </w:rPr>
        <w:t>Υποβολή και έγκριση των εταιρικών και ενοποιημένων Ετήσιων Οικονομικών Καταστάσεων της Εταιρείας σύμφωνα με τα Διεθνή Πρότυπα Χρηματοοικονομικής Αναφοράς (Δ.Π.Χ.Α.) της εταιρικής χρήσης 1.1.2015 έως 31.12.2015, έπειτα από ακρόαση και έγκριση των σχετικών Εκθέσεων του Διοικητικού Συμβουλίου περί των πεπραγμένων της ως άνω χρήσης – ειδικώς της διατάξεως του άρθρου 2 παρ.4 του Νόμου 3016/2002- και του Ορκωτού Ελεγκτή–Λογιστή.</w:t>
      </w:r>
    </w:p>
    <w:p w:rsidR="00234F76" w:rsidRPr="00652B77" w:rsidRDefault="00234F76" w:rsidP="00652B77">
      <w:pPr>
        <w:tabs>
          <w:tab w:val="left" w:pos="0"/>
        </w:tabs>
        <w:autoSpaceDE w:val="0"/>
        <w:spacing w:after="57" w:line="360" w:lineRule="auto"/>
        <w:jc w:val="both"/>
        <w:rPr>
          <w:rFonts w:ascii="Arial" w:hAnsi="Arial" w:cs="Arial"/>
          <w:sz w:val="20"/>
          <w:szCs w:val="20"/>
          <w:lang w:val="el-GR"/>
        </w:rPr>
      </w:pPr>
      <w:r w:rsidRPr="00652B77">
        <w:rPr>
          <w:rFonts w:ascii="Arial" w:hAnsi="Arial" w:cs="Arial"/>
          <w:sz w:val="20"/>
          <w:szCs w:val="20"/>
          <w:lang w:val="el-GR"/>
        </w:rPr>
        <w:t>Επί του θέματος αυτού δεν κατέστη εφικτή η λήψη απόφασης, εφόσον δεν δημοσιεύθηκαν εγκαίρως οι Ετήσιες Οικονομικές Καταστάσεις της Εταιρείας για τη χρήση από 1.1.2015 έως 31.12.2015, όπως και οι σχετικές Εκθέσεις του Διοικητικού Συμβουλίου περί των πεπραγμένων της ως άνω χρήσης, ένεκα απουσίας των μελών του Οργάνου Διοίκησης και αδυναμίας συγκρότησής του για τη λήψη των προαπαιτουμένων αποφάσεων.</w:t>
      </w:r>
    </w:p>
    <w:p w:rsidR="00234F76" w:rsidRDefault="00234F76" w:rsidP="00652B77">
      <w:pPr>
        <w:autoSpaceDE w:val="0"/>
        <w:spacing w:after="57" w:line="360" w:lineRule="auto"/>
        <w:jc w:val="both"/>
        <w:rPr>
          <w:rFonts w:ascii="Arial" w:hAnsi="Arial" w:cs="Arial"/>
          <w:sz w:val="20"/>
          <w:szCs w:val="20"/>
          <w:u w:val="single"/>
        </w:rPr>
      </w:pPr>
      <w:r w:rsidRPr="00652B77">
        <w:rPr>
          <w:rFonts w:ascii="Arial" w:hAnsi="Arial" w:cs="Arial"/>
          <w:b/>
          <w:bCs/>
          <w:color w:val="000000"/>
          <w:sz w:val="20"/>
          <w:szCs w:val="20"/>
          <w:u w:val="single"/>
          <w:lang w:val="el-GR" w:eastAsia="el-GR"/>
        </w:rPr>
        <w:br/>
      </w:r>
      <w:r w:rsidRPr="00652B77">
        <w:rPr>
          <w:rFonts w:ascii="Arial" w:hAnsi="Arial" w:cs="Arial"/>
          <w:b/>
          <w:bCs/>
          <w:sz w:val="20"/>
          <w:szCs w:val="20"/>
          <w:u w:val="single"/>
          <w:lang w:val="el-GR"/>
        </w:rPr>
        <w:t>Θέμα</w:t>
      </w:r>
      <w:r w:rsidRPr="00652B77">
        <w:rPr>
          <w:rFonts w:ascii="Arial" w:hAnsi="Arial" w:cs="Arial"/>
          <w:sz w:val="20"/>
          <w:szCs w:val="20"/>
          <w:u w:val="single"/>
          <w:lang w:val="el-GR"/>
        </w:rPr>
        <w:t xml:space="preserve"> </w:t>
      </w:r>
      <w:r w:rsidRPr="00652B77">
        <w:rPr>
          <w:rFonts w:ascii="Arial" w:hAnsi="Arial" w:cs="Arial"/>
          <w:b/>
          <w:bCs/>
          <w:sz w:val="20"/>
          <w:szCs w:val="20"/>
          <w:u w:val="single"/>
          <w:lang w:val="el-GR"/>
        </w:rPr>
        <w:t>2ο:</w:t>
      </w:r>
      <w:r w:rsidRPr="00652B77">
        <w:rPr>
          <w:rFonts w:ascii="Arial" w:hAnsi="Arial" w:cs="Arial"/>
          <w:sz w:val="20"/>
          <w:szCs w:val="20"/>
          <w:u w:val="single"/>
          <w:lang w:val="el-GR"/>
        </w:rPr>
        <w:t xml:space="preserve"> Απαλλαγή των μελών του Διοικητικού Συμβουλίου και του Ορκωτού Ελεγκτή – Λογιστή από κάθε ευθύνη αποζημιώσεως για την διαχείριση των εταιρικών υποθέσεων, τη σύνταξη και τον έλεγχο των ετήσιων Οικονομικών Καταστάσεων και της διαχείρισης της χρήσης 2015.</w:t>
      </w:r>
    </w:p>
    <w:p w:rsidR="00234F76" w:rsidRPr="00652B77" w:rsidRDefault="00234F76" w:rsidP="00652B77">
      <w:pPr>
        <w:autoSpaceDE w:val="0"/>
        <w:spacing w:after="57" w:line="360" w:lineRule="auto"/>
        <w:jc w:val="both"/>
        <w:rPr>
          <w:rFonts w:ascii="Arial" w:hAnsi="Arial" w:cs="Arial"/>
          <w:color w:val="000000"/>
          <w:sz w:val="20"/>
          <w:szCs w:val="20"/>
          <w:lang w:eastAsia="el-GR"/>
        </w:rPr>
      </w:pPr>
    </w:p>
    <w:p w:rsidR="00234F76" w:rsidRPr="00652B77" w:rsidRDefault="00234F76" w:rsidP="00652B77">
      <w:pPr>
        <w:tabs>
          <w:tab w:val="left" w:pos="3143"/>
        </w:tabs>
        <w:autoSpaceDE w:val="0"/>
        <w:spacing w:after="57" w:line="360" w:lineRule="auto"/>
        <w:jc w:val="both"/>
        <w:rPr>
          <w:rFonts w:ascii="Arial" w:hAnsi="Arial" w:cs="Arial"/>
          <w:sz w:val="20"/>
          <w:szCs w:val="20"/>
          <w:lang w:val="el-GR"/>
        </w:rPr>
      </w:pPr>
      <w:r w:rsidRPr="00652B77">
        <w:rPr>
          <w:rFonts w:ascii="Arial" w:hAnsi="Arial" w:cs="Arial"/>
          <w:kern w:val="1"/>
          <w:sz w:val="20"/>
          <w:szCs w:val="20"/>
          <w:lang w:val="el-GR"/>
        </w:rPr>
        <w:t xml:space="preserve">Ομοίως, καί επί </w:t>
      </w:r>
      <w:r w:rsidRPr="00652B77">
        <w:rPr>
          <w:rFonts w:ascii="Arial" w:hAnsi="Arial" w:cs="Arial"/>
          <w:sz w:val="20"/>
          <w:szCs w:val="20"/>
          <w:lang w:val="el-GR"/>
        </w:rPr>
        <w:t>του ανωτέρω θέματος δεν κατέστη εφικτή η λήψη οιασδήποτε σχετικής απόφασης καθόσον δεν έχει συντελεσθεί μέχρι σήμερα η αναγκαία δημοσιίευση των Ετήσιων Οικονομικών Καταστάσεων της Εταιρείας για τη χρήση από 1.1.2015 έως 31.12.2015, ούτε έχουν συνταχθεί οι προαπαιτούμενες Εκθέσεις του Διοικητικού Συμβουλίου περί των πεπραγμένων της ως άνω χρήσης, για τους ανωτέρω εκτεθέντες λόγους και για το λόγο αυτό θα πρέπει να ματαιωθεί η συζήτηση του ανωτέρω θέματος και η λήψη αιασδήποτε απόφασης.</w:t>
      </w:r>
    </w:p>
    <w:p w:rsidR="00234F76" w:rsidRDefault="00234F76" w:rsidP="00652B77">
      <w:pPr>
        <w:widowControl/>
        <w:shd w:val="clear" w:color="auto" w:fill="FFFFFF"/>
        <w:spacing w:after="240" w:line="360" w:lineRule="auto"/>
        <w:jc w:val="both"/>
        <w:rPr>
          <w:rFonts w:ascii="Arial" w:hAnsi="Arial" w:cs="Arial"/>
          <w:color w:val="000000"/>
          <w:sz w:val="20"/>
          <w:szCs w:val="20"/>
          <w:lang w:eastAsia="el-GR"/>
        </w:rPr>
      </w:pPr>
      <w:r w:rsidRPr="00652B77">
        <w:rPr>
          <w:rFonts w:ascii="Arial" w:hAnsi="Arial" w:cs="Arial"/>
          <w:color w:val="000000"/>
          <w:sz w:val="20"/>
          <w:szCs w:val="20"/>
          <w:lang w:val="el-GR" w:eastAsia="el-GR"/>
        </w:rPr>
        <w:t> </w:t>
      </w:r>
    </w:p>
    <w:p w:rsidR="00234F76" w:rsidRPr="00652B77" w:rsidRDefault="00234F76" w:rsidP="00652B77">
      <w:pPr>
        <w:widowControl/>
        <w:shd w:val="clear" w:color="auto" w:fill="FFFFFF"/>
        <w:spacing w:after="240" w:line="360" w:lineRule="auto"/>
        <w:jc w:val="both"/>
        <w:rPr>
          <w:rFonts w:ascii="Arial" w:hAnsi="Arial" w:cs="Arial"/>
          <w:b/>
          <w:bCs/>
          <w:sz w:val="20"/>
          <w:szCs w:val="20"/>
          <w:u w:val="single"/>
          <w:lang w:val="el-GR"/>
        </w:rPr>
      </w:pPr>
      <w:r w:rsidRPr="00652B77">
        <w:rPr>
          <w:rFonts w:ascii="Arial" w:hAnsi="Arial" w:cs="Arial"/>
          <w:b/>
          <w:bCs/>
          <w:sz w:val="20"/>
          <w:szCs w:val="20"/>
          <w:u w:val="single"/>
          <w:lang w:val="el-GR"/>
        </w:rPr>
        <w:t>Θέμα</w:t>
      </w:r>
      <w:r w:rsidRPr="00652B77">
        <w:rPr>
          <w:rFonts w:ascii="Arial" w:hAnsi="Arial" w:cs="Arial"/>
          <w:sz w:val="20"/>
          <w:szCs w:val="20"/>
          <w:u w:val="single"/>
          <w:lang w:val="el-GR"/>
        </w:rPr>
        <w:t xml:space="preserve"> </w:t>
      </w:r>
      <w:r w:rsidRPr="00652B77">
        <w:rPr>
          <w:rFonts w:ascii="Arial" w:hAnsi="Arial" w:cs="Arial"/>
          <w:b/>
          <w:bCs/>
          <w:sz w:val="20"/>
          <w:szCs w:val="20"/>
          <w:u w:val="single"/>
          <w:lang w:val="el-GR"/>
        </w:rPr>
        <w:t>3ο:</w:t>
      </w:r>
      <w:r w:rsidRPr="00652B77">
        <w:rPr>
          <w:rFonts w:ascii="Arial" w:hAnsi="Arial" w:cs="Arial"/>
          <w:sz w:val="20"/>
          <w:szCs w:val="20"/>
          <w:u w:val="single"/>
          <w:lang w:val="el-GR"/>
        </w:rPr>
        <w:t xml:space="preserve"> Εκλογή Ορκωτών Ελεγκτών–Λογιστών, τακτικών και αναπληρωματικών, για την εταιρική χρήση 2016 και καθορισμός της αμοιβής τους.</w:t>
      </w:r>
    </w:p>
    <w:p w:rsidR="00234F76" w:rsidRPr="00652B77" w:rsidRDefault="00234F76" w:rsidP="00652B77">
      <w:pPr>
        <w:widowControl/>
        <w:shd w:val="clear" w:color="auto" w:fill="FFFFFF"/>
        <w:spacing w:after="240" w:line="360" w:lineRule="auto"/>
        <w:jc w:val="both"/>
        <w:rPr>
          <w:rFonts w:ascii="Arial" w:hAnsi="Arial" w:cs="Arial"/>
          <w:color w:val="000000"/>
          <w:sz w:val="20"/>
          <w:szCs w:val="20"/>
          <w:lang w:val="el-GR" w:eastAsia="el-GR"/>
        </w:rPr>
      </w:pPr>
      <w:r w:rsidRPr="00652B77">
        <w:rPr>
          <w:rFonts w:ascii="Arial" w:hAnsi="Arial" w:cs="Arial"/>
          <w:color w:val="000000"/>
          <w:sz w:val="20"/>
          <w:szCs w:val="20"/>
          <w:lang w:val="el-GR" w:eastAsia="el-GR"/>
        </w:rPr>
        <w:t>Ομοφώνως  έγινε η εκλογή των κατωτέρω Ορκωτών Ελεγκτών της εταιρείας ''TMS Ανώνυμη Εταιρεία Ορκωτών Ελεγκτών Λογιστών” με Α.Μ. ΣΟΕΛ 166 για τον έλεγχο των Οικονομικών Καταστάσεων της Εταιρείας κατά τη χρήση 2016:</w:t>
      </w:r>
    </w:p>
    <w:p w:rsidR="00234F76" w:rsidRPr="00652B77" w:rsidRDefault="00234F76" w:rsidP="00652B77">
      <w:pPr>
        <w:widowControl/>
        <w:shd w:val="clear" w:color="auto" w:fill="FFFFFF"/>
        <w:spacing w:after="240" w:line="360" w:lineRule="auto"/>
        <w:jc w:val="both"/>
        <w:rPr>
          <w:rFonts w:ascii="Arial" w:hAnsi="Arial" w:cs="Arial"/>
          <w:color w:val="000000"/>
          <w:sz w:val="20"/>
          <w:szCs w:val="20"/>
          <w:lang w:val="el-GR" w:eastAsia="el-GR"/>
        </w:rPr>
      </w:pPr>
      <w:r w:rsidRPr="00652B77">
        <w:rPr>
          <w:rFonts w:ascii="Arial" w:hAnsi="Arial" w:cs="Arial"/>
          <w:color w:val="000000"/>
          <w:sz w:val="20"/>
          <w:szCs w:val="20"/>
          <w:lang w:val="el-GR" w:eastAsia="el-GR"/>
        </w:rPr>
        <w:t>Ως τακτικό τον κο Θεόδωρο Ζερβό του Γεωργίου (Α.Μ. Σ.Ο.Ε.Λ.17591) και ως αναπληρωματικό τον κο Εμμανουήλ Πετράκη του Μιχαήλ  (Α.Μ. Σ.Ο.Ε.Λ.18731).</w:t>
      </w:r>
    </w:p>
    <w:p w:rsidR="00234F76" w:rsidRPr="00652B77" w:rsidRDefault="00234F76" w:rsidP="00652B77">
      <w:pPr>
        <w:widowControl/>
        <w:shd w:val="clear" w:color="auto" w:fill="FFFFFF"/>
        <w:spacing w:after="240" w:line="360" w:lineRule="auto"/>
        <w:jc w:val="both"/>
        <w:rPr>
          <w:rFonts w:ascii="Arial" w:hAnsi="Arial" w:cs="Arial"/>
          <w:color w:val="000000"/>
          <w:sz w:val="20"/>
          <w:szCs w:val="20"/>
          <w:lang w:val="el-GR" w:eastAsia="el-GR"/>
        </w:rPr>
      </w:pPr>
      <w:r w:rsidRPr="00652B77">
        <w:rPr>
          <w:rFonts w:ascii="Arial" w:hAnsi="Arial" w:cs="Arial"/>
          <w:color w:val="000000"/>
          <w:sz w:val="20"/>
          <w:szCs w:val="20"/>
          <w:lang w:val="el-GR" w:eastAsia="el-GR"/>
        </w:rPr>
        <w:t>Εγκρίνει επίσης τον καθορισμό της αμοιβής τους σύμφωνα με τις ώρες της απασχόλησής τους και σύμφωνα με τα όσα ορίζει ο κανονισμός του Σώματος Ορκωτών-Λογιστών.</w:t>
      </w:r>
    </w:p>
    <w:p w:rsidR="00234F76" w:rsidRPr="00652B77" w:rsidRDefault="00234F76" w:rsidP="00652B77">
      <w:pPr>
        <w:widowControl/>
        <w:shd w:val="clear" w:color="auto" w:fill="FFFFFF"/>
        <w:spacing w:after="240" w:line="360" w:lineRule="auto"/>
        <w:jc w:val="both"/>
        <w:rPr>
          <w:rFonts w:ascii="Arial" w:hAnsi="Arial" w:cs="Arial"/>
          <w:color w:val="000000"/>
          <w:sz w:val="20"/>
          <w:szCs w:val="20"/>
          <w:lang w:val="el-GR" w:eastAsia="el-GR"/>
        </w:rPr>
      </w:pPr>
      <w:r w:rsidRPr="00652B77">
        <w:rPr>
          <w:rFonts w:ascii="Arial" w:hAnsi="Arial" w:cs="Arial"/>
          <w:color w:val="000000"/>
          <w:sz w:val="20"/>
          <w:szCs w:val="20"/>
          <w:lang w:val="el-GR" w:eastAsia="el-GR"/>
        </w:rPr>
        <w:t>Συνολικός αριθμός μετοχών για τις οποίες δόθηκαν έγκυρες ψήφοι/συνολικός αριθμός έγκυρων ψήφων: 232.332.265 που αντιστοιχούν σε ποσοστό 90,95% του καταβεβλημένου μετοχικού κεφαλαίου.</w:t>
      </w:r>
    </w:p>
    <w:p w:rsidR="00234F76" w:rsidRPr="00652B77" w:rsidRDefault="00234F76" w:rsidP="00652B77">
      <w:pPr>
        <w:widowControl/>
        <w:shd w:val="clear" w:color="auto" w:fill="FFFFFF"/>
        <w:spacing w:after="240" w:line="360" w:lineRule="auto"/>
        <w:jc w:val="both"/>
        <w:rPr>
          <w:rFonts w:ascii="Arial" w:hAnsi="Arial" w:cs="Arial"/>
          <w:color w:val="000000"/>
          <w:sz w:val="20"/>
          <w:szCs w:val="20"/>
          <w:lang w:val="el-GR" w:eastAsia="el-GR"/>
        </w:rPr>
      </w:pPr>
      <w:r w:rsidRPr="00652B77">
        <w:rPr>
          <w:rFonts w:ascii="Arial" w:hAnsi="Arial" w:cs="Arial"/>
          <w:color w:val="000000"/>
          <w:sz w:val="20"/>
          <w:szCs w:val="20"/>
          <w:lang w:val="el-GR" w:eastAsia="el-GR"/>
        </w:rPr>
        <w:t>Ψήφοι Υπέρ: 232.332.265, ήτοι ποσοστό 100,00% του εκπροσωπούμενου στη Συνέλευση μετοχικού κεφαλαίου.</w:t>
      </w:r>
    </w:p>
    <w:p w:rsidR="00234F76" w:rsidRPr="00652B77" w:rsidRDefault="00234F76" w:rsidP="00652B77">
      <w:pPr>
        <w:autoSpaceDE w:val="0"/>
        <w:spacing w:after="57" w:line="360" w:lineRule="auto"/>
        <w:jc w:val="both"/>
        <w:rPr>
          <w:rFonts w:ascii="Arial" w:hAnsi="Arial" w:cs="Arial"/>
          <w:sz w:val="20"/>
          <w:szCs w:val="20"/>
          <w:u w:val="single"/>
          <w:shd w:val="clear" w:color="auto" w:fill="FFFFFF"/>
          <w:lang w:val="el-GR"/>
        </w:rPr>
      </w:pPr>
      <w:r w:rsidRPr="00652B77">
        <w:rPr>
          <w:rFonts w:ascii="Arial" w:hAnsi="Arial" w:cs="Arial"/>
          <w:b/>
          <w:bCs/>
          <w:color w:val="000000"/>
          <w:sz w:val="20"/>
          <w:szCs w:val="20"/>
          <w:u w:val="single"/>
          <w:lang w:val="el-GR" w:eastAsia="el-GR"/>
        </w:rPr>
        <w:br/>
      </w:r>
      <w:r w:rsidRPr="00652B77">
        <w:rPr>
          <w:rFonts w:ascii="Arial" w:hAnsi="Arial" w:cs="Arial"/>
          <w:b/>
          <w:bCs/>
          <w:sz w:val="20"/>
          <w:szCs w:val="20"/>
          <w:u w:val="single"/>
          <w:lang w:val="el-GR"/>
        </w:rPr>
        <w:t>Θέμα</w:t>
      </w:r>
      <w:r w:rsidRPr="00652B77">
        <w:rPr>
          <w:rFonts w:ascii="Arial" w:hAnsi="Arial" w:cs="Arial"/>
          <w:sz w:val="20"/>
          <w:szCs w:val="20"/>
          <w:u w:val="single"/>
          <w:lang w:val="el-GR"/>
        </w:rPr>
        <w:t xml:space="preserve"> </w:t>
      </w:r>
      <w:r w:rsidRPr="00652B77">
        <w:rPr>
          <w:rFonts w:ascii="Arial" w:hAnsi="Arial" w:cs="Arial"/>
          <w:b/>
          <w:sz w:val="20"/>
          <w:szCs w:val="20"/>
          <w:u w:val="single"/>
          <w:lang w:val="el-GR"/>
        </w:rPr>
        <w:t>4</w:t>
      </w:r>
      <w:r w:rsidRPr="00652B77">
        <w:rPr>
          <w:rFonts w:ascii="Arial" w:hAnsi="Arial" w:cs="Arial"/>
          <w:b/>
          <w:bCs/>
          <w:sz w:val="20"/>
          <w:szCs w:val="20"/>
          <w:u w:val="single"/>
          <w:lang w:val="el-GR"/>
        </w:rPr>
        <w:t>ο:</w:t>
      </w:r>
      <w:r w:rsidRPr="00652B77">
        <w:rPr>
          <w:rFonts w:ascii="Arial" w:hAnsi="Arial" w:cs="Arial"/>
          <w:sz w:val="20"/>
          <w:szCs w:val="20"/>
          <w:u w:val="single"/>
          <w:lang w:val="el-GR"/>
        </w:rPr>
        <w:t xml:space="preserve"> Έγκριση αμοιβών και αποζημιώσεων που καταβλήθηκαν κατά την χρήση 2015 σε μέλη του Διοικητικού Συμβουλίου συμπεριλαμβανομένων και των ανωτάτων στελεχών και προέγκριση αμοιβών και αποζημιώσεων μελών του Διοικητικού Συμβουλίου και ανωτάτων στελεχών για την χρήση 2016</w:t>
      </w:r>
      <w:r w:rsidRPr="00652B77">
        <w:rPr>
          <w:rFonts w:ascii="Arial" w:hAnsi="Arial" w:cs="Arial"/>
          <w:sz w:val="20"/>
          <w:szCs w:val="20"/>
          <w:u w:val="single"/>
          <w:shd w:val="clear" w:color="auto" w:fill="FFFFFF"/>
          <w:lang w:val="el-GR"/>
        </w:rPr>
        <w:t>.</w:t>
      </w:r>
    </w:p>
    <w:p w:rsidR="00234F76" w:rsidRPr="00652B77" w:rsidRDefault="00234F76" w:rsidP="00652B77">
      <w:pPr>
        <w:autoSpaceDE w:val="0"/>
        <w:spacing w:after="57" w:line="360" w:lineRule="auto"/>
        <w:jc w:val="both"/>
        <w:rPr>
          <w:rFonts w:ascii="Arial" w:hAnsi="Arial" w:cs="Arial"/>
          <w:sz w:val="20"/>
          <w:szCs w:val="20"/>
          <w:shd w:val="clear" w:color="auto" w:fill="FFFFFF"/>
          <w:lang w:val="el-GR"/>
        </w:rPr>
      </w:pPr>
    </w:p>
    <w:p w:rsidR="00234F76" w:rsidRPr="00652B77" w:rsidRDefault="00234F76" w:rsidP="00652B77">
      <w:pPr>
        <w:widowControl/>
        <w:shd w:val="clear" w:color="auto" w:fill="FFFFFF"/>
        <w:spacing w:after="240" w:line="360" w:lineRule="auto"/>
        <w:jc w:val="both"/>
        <w:rPr>
          <w:rFonts w:ascii="Arial" w:hAnsi="Arial" w:cs="Arial"/>
          <w:color w:val="000000"/>
          <w:sz w:val="20"/>
          <w:szCs w:val="20"/>
          <w:lang w:val="el-GR" w:eastAsia="el-GR"/>
        </w:rPr>
      </w:pPr>
      <w:r w:rsidRPr="00652B77">
        <w:rPr>
          <w:rFonts w:ascii="Arial" w:hAnsi="Arial" w:cs="Arial"/>
          <w:color w:val="000000"/>
          <w:sz w:val="20"/>
          <w:szCs w:val="20"/>
          <w:lang w:val="el-GR" w:eastAsia="el-GR"/>
        </w:rPr>
        <w:t>Εγκρίθηκαν ομόφωνα οι αμοιβές και οι αποζημιώσεις που καταβλήθηκαν κατά την χρήση 2015 στα μέλη του Διοικητικού Συμβουλίου συμπεριλαμβανομένων και των ανωτέρων στελεχών. Όσες από αυτές δεν έχουν καταβληθεί έχουν αχθεί στους οικείους λογαριασμούς και θεωρούνται οφειλόμενες. Επίσης προεγκρίθηκαν οι αμοιβές και οι  αποζημιώσεις των μελών του Διοικητικού Συμβουλίου και ανωτέρων στελεχών για την χρήση 2016.</w:t>
      </w:r>
    </w:p>
    <w:p w:rsidR="00234F76" w:rsidRPr="00652B77" w:rsidRDefault="00234F76" w:rsidP="00652B77">
      <w:pPr>
        <w:widowControl/>
        <w:shd w:val="clear" w:color="auto" w:fill="FFFFFF"/>
        <w:spacing w:after="240" w:line="360" w:lineRule="auto"/>
        <w:jc w:val="both"/>
        <w:rPr>
          <w:rFonts w:ascii="Arial" w:hAnsi="Arial" w:cs="Arial"/>
          <w:color w:val="000000"/>
          <w:sz w:val="20"/>
          <w:szCs w:val="20"/>
          <w:lang w:val="el-GR" w:eastAsia="el-GR"/>
        </w:rPr>
      </w:pPr>
      <w:r w:rsidRPr="00652B77">
        <w:rPr>
          <w:rFonts w:ascii="Arial" w:hAnsi="Arial" w:cs="Arial"/>
          <w:color w:val="000000"/>
          <w:sz w:val="20"/>
          <w:szCs w:val="20"/>
          <w:lang w:val="el-GR" w:eastAsia="el-GR"/>
        </w:rPr>
        <w:t>Συνολικός αριθμός μετοχών για τις οποίες δόθηκαν έγκυρες ψήφοι/συνολικός αριθμός έγκυρων ψήφων: 232.332.265 που αντιστοιχούν σε ποσοστό 90,95% του καταβεβλημένου μετοχικού κεφαλαίου.</w:t>
      </w:r>
    </w:p>
    <w:p w:rsidR="00234F76" w:rsidRPr="00652B77" w:rsidRDefault="00234F76" w:rsidP="00652B77">
      <w:pPr>
        <w:widowControl/>
        <w:shd w:val="clear" w:color="auto" w:fill="FFFFFF"/>
        <w:spacing w:after="240" w:line="360" w:lineRule="auto"/>
        <w:jc w:val="both"/>
        <w:rPr>
          <w:rFonts w:ascii="Arial" w:hAnsi="Arial" w:cs="Arial"/>
          <w:color w:val="000000"/>
          <w:sz w:val="20"/>
          <w:szCs w:val="20"/>
          <w:lang w:val="el-GR" w:eastAsia="el-GR"/>
        </w:rPr>
      </w:pPr>
      <w:r w:rsidRPr="00652B77">
        <w:rPr>
          <w:rFonts w:ascii="Arial" w:hAnsi="Arial" w:cs="Arial"/>
          <w:color w:val="000000"/>
          <w:sz w:val="20"/>
          <w:szCs w:val="20"/>
          <w:lang w:val="el-GR" w:eastAsia="el-GR"/>
        </w:rPr>
        <w:t>Ψήφοι Υπέρ: 232.332.265, ήτοι ποσοστό 100,00% του εκπροσωπούμενου στη Συνέλευση μετοχικού κεφαλαίου.</w:t>
      </w:r>
    </w:p>
    <w:p w:rsidR="00234F76" w:rsidRPr="00652B77" w:rsidRDefault="00234F76" w:rsidP="00652B77">
      <w:pPr>
        <w:autoSpaceDE w:val="0"/>
        <w:spacing w:after="57" w:line="360" w:lineRule="auto"/>
        <w:jc w:val="both"/>
        <w:rPr>
          <w:rFonts w:ascii="Arial" w:hAnsi="Arial" w:cs="Arial"/>
          <w:b/>
          <w:bCs/>
          <w:sz w:val="20"/>
          <w:szCs w:val="20"/>
          <w:u w:val="single"/>
          <w:lang w:val="el-GR"/>
        </w:rPr>
      </w:pPr>
      <w:r w:rsidRPr="00652B77">
        <w:rPr>
          <w:rFonts w:ascii="Arial" w:hAnsi="Arial" w:cs="Arial"/>
          <w:b/>
          <w:bCs/>
          <w:color w:val="000000"/>
          <w:sz w:val="20"/>
          <w:szCs w:val="20"/>
          <w:lang w:val="el-GR" w:eastAsia="el-GR"/>
        </w:rPr>
        <w:br/>
      </w:r>
      <w:r w:rsidRPr="00652B77">
        <w:rPr>
          <w:rFonts w:ascii="Arial" w:hAnsi="Arial" w:cs="Arial"/>
          <w:b/>
          <w:bCs/>
          <w:sz w:val="20"/>
          <w:szCs w:val="20"/>
          <w:u w:val="single"/>
          <w:lang w:val="el-GR"/>
        </w:rPr>
        <w:t>Θέμα</w:t>
      </w:r>
      <w:r w:rsidRPr="00652B77">
        <w:rPr>
          <w:rFonts w:ascii="Arial" w:hAnsi="Arial" w:cs="Arial"/>
          <w:sz w:val="20"/>
          <w:szCs w:val="20"/>
          <w:u w:val="single"/>
          <w:lang w:val="el-GR"/>
        </w:rPr>
        <w:t xml:space="preserve"> </w:t>
      </w:r>
      <w:r w:rsidRPr="00652B77">
        <w:rPr>
          <w:rFonts w:ascii="Arial" w:hAnsi="Arial" w:cs="Arial"/>
          <w:b/>
          <w:sz w:val="20"/>
          <w:szCs w:val="20"/>
          <w:u w:val="single"/>
          <w:lang w:val="el-GR"/>
        </w:rPr>
        <w:t>5</w:t>
      </w:r>
      <w:r w:rsidRPr="00652B77">
        <w:rPr>
          <w:rFonts w:ascii="Arial" w:hAnsi="Arial" w:cs="Arial"/>
          <w:b/>
          <w:bCs/>
          <w:sz w:val="20"/>
          <w:szCs w:val="20"/>
          <w:u w:val="single"/>
          <w:lang w:val="el-GR"/>
        </w:rPr>
        <w:t>ο:</w:t>
      </w:r>
      <w:r w:rsidRPr="00652B77">
        <w:rPr>
          <w:rFonts w:ascii="Arial" w:hAnsi="Arial" w:cs="Arial"/>
          <w:sz w:val="20"/>
          <w:szCs w:val="20"/>
          <w:u w:val="single"/>
          <w:lang w:val="el-GR"/>
        </w:rPr>
        <w:t xml:space="preserve"> Πα</w:t>
      </w:r>
      <w:r w:rsidRPr="00652B77">
        <w:rPr>
          <w:rFonts w:ascii="Arial" w:hAnsi="Arial" w:cs="Arial"/>
          <w:sz w:val="20"/>
          <w:szCs w:val="20"/>
          <w:u w:val="single"/>
          <w:shd w:val="clear" w:color="auto" w:fill="FFFFFF"/>
          <w:lang w:val="el-GR"/>
        </w:rPr>
        <w:t>ροχή άδειας, σύμφωνα με το άρθρο 23 παρ. 1 του κ.ν. 2190/1920, στα μέλη του Διοικητικού Συμβουλίου της Εταιρείας ή/και σε στελέχη της Εταιρείας για την συμμετοχή τους σε Διοικητικά Συμβούλια εταιρειών του Ομίλου και των συνδεδεμένων εταιρειών, κατά την έννοια του άρθρου 42ε παρ.5 του κ.ν. 2190/1920, καθώς και σε τρίτα νομικά πρόσωπα με συναφείς δραστηριότητες.</w:t>
      </w:r>
    </w:p>
    <w:p w:rsidR="00234F76" w:rsidRPr="00652B77" w:rsidRDefault="00234F76" w:rsidP="00652B77">
      <w:pPr>
        <w:widowControl/>
        <w:shd w:val="clear" w:color="auto" w:fill="FFFFFF"/>
        <w:spacing w:after="240" w:line="360" w:lineRule="auto"/>
        <w:jc w:val="both"/>
        <w:rPr>
          <w:rFonts w:ascii="Arial" w:hAnsi="Arial" w:cs="Arial"/>
          <w:color w:val="000000"/>
          <w:sz w:val="20"/>
          <w:szCs w:val="20"/>
          <w:lang w:val="el-GR" w:eastAsia="el-GR"/>
        </w:rPr>
      </w:pPr>
    </w:p>
    <w:p w:rsidR="00234F76" w:rsidRPr="00652B77" w:rsidRDefault="00234F76" w:rsidP="00652B77">
      <w:pPr>
        <w:pStyle w:val="List"/>
        <w:numPr>
          <w:ilvl w:val="0"/>
          <w:numId w:val="1"/>
        </w:numPr>
        <w:spacing w:after="57" w:line="360" w:lineRule="auto"/>
        <w:jc w:val="both"/>
        <w:rPr>
          <w:rFonts w:ascii="Arial" w:hAnsi="Arial" w:cs="Arial"/>
          <w:sz w:val="20"/>
          <w:szCs w:val="20"/>
        </w:rPr>
      </w:pPr>
      <w:r w:rsidRPr="00652B77">
        <w:rPr>
          <w:rFonts w:ascii="Arial" w:hAnsi="Arial" w:cs="Arial"/>
          <w:color w:val="000000"/>
          <w:sz w:val="20"/>
          <w:szCs w:val="20"/>
          <w:lang w:eastAsia="el-GR"/>
        </w:rPr>
        <w:t>Ομοφώνως παρασχέθηκε </w:t>
      </w:r>
      <w:r w:rsidRPr="00652B77">
        <w:rPr>
          <w:rFonts w:ascii="Arial" w:hAnsi="Arial" w:cs="Arial"/>
          <w:sz w:val="20"/>
          <w:szCs w:val="20"/>
        </w:rPr>
        <w:t>άδεια σύμφωνα με το άρθρο 23 παρ. 1 του κ.ν. 2190/1920, στα μέλη του Διοικητικού Συμβουλίου ή/και σε στελέχη της Εταιρείας για την συμμετοχή τους σε Διοικητικά Συμβούλια εταιρειών του ομίλου και των συνδεδεμένων εταιρειών, κατά την έννοια του άρθρου 42ε, παράγραφος 5 του κ.ν. 2190/1920, καθώς και σε τρίτα νομικά πρόσωπα με συναφείς δραστηριότητες.</w:t>
      </w:r>
    </w:p>
    <w:p w:rsidR="00234F76" w:rsidRPr="00652B77" w:rsidRDefault="00234F76" w:rsidP="00652B77">
      <w:pPr>
        <w:widowControl/>
        <w:shd w:val="clear" w:color="auto" w:fill="FFFFFF"/>
        <w:spacing w:after="240" w:line="360" w:lineRule="auto"/>
        <w:jc w:val="both"/>
        <w:rPr>
          <w:rFonts w:ascii="Arial" w:hAnsi="Arial" w:cs="Arial"/>
          <w:color w:val="000000"/>
          <w:sz w:val="20"/>
          <w:szCs w:val="20"/>
          <w:lang w:val="el-GR" w:eastAsia="el-GR"/>
        </w:rPr>
      </w:pPr>
      <w:r w:rsidRPr="00652B77">
        <w:rPr>
          <w:rFonts w:ascii="Arial" w:hAnsi="Arial" w:cs="Arial"/>
          <w:color w:val="000000"/>
          <w:sz w:val="20"/>
          <w:szCs w:val="20"/>
          <w:lang w:val="el-GR" w:eastAsia="el-GR"/>
        </w:rPr>
        <w:t>Συνολικός αριθμός μετοχών για τις οποίες δόθηκαν έγκυρες ψήφοι/συνολικός αριθμός έγκυρων ψήφων: 232.332.265 που αντιστοιχούν σε ποσοστό 90,95% του καταβεβλημένου μετοχικού κεφαλαίου.</w:t>
      </w:r>
    </w:p>
    <w:p w:rsidR="00234F76" w:rsidRPr="00652B77" w:rsidRDefault="00234F76" w:rsidP="00652B77">
      <w:pPr>
        <w:widowControl/>
        <w:shd w:val="clear" w:color="auto" w:fill="FFFFFF"/>
        <w:spacing w:after="240" w:line="360" w:lineRule="auto"/>
        <w:jc w:val="both"/>
        <w:rPr>
          <w:rFonts w:ascii="Arial" w:hAnsi="Arial" w:cs="Arial"/>
          <w:color w:val="000000"/>
          <w:sz w:val="20"/>
          <w:szCs w:val="20"/>
          <w:lang w:val="el-GR" w:eastAsia="el-GR"/>
        </w:rPr>
      </w:pPr>
      <w:r w:rsidRPr="00652B77">
        <w:rPr>
          <w:rFonts w:ascii="Arial" w:hAnsi="Arial" w:cs="Arial"/>
          <w:color w:val="000000"/>
          <w:sz w:val="20"/>
          <w:szCs w:val="20"/>
          <w:lang w:val="el-GR" w:eastAsia="el-GR"/>
        </w:rPr>
        <w:t>Ψήφοι Υπέρ: 232.332.265, ήτοι ποσοστό 100,00% του εκπροσωπούμενου στη Συνέλευση μετοχικού κεφαλαίου.</w:t>
      </w:r>
    </w:p>
    <w:p w:rsidR="00234F76" w:rsidRPr="00652B77" w:rsidRDefault="00234F76" w:rsidP="00652B77">
      <w:pPr>
        <w:autoSpaceDE w:val="0"/>
        <w:spacing w:after="57" w:line="360" w:lineRule="auto"/>
        <w:jc w:val="both"/>
        <w:rPr>
          <w:rFonts w:ascii="Arial" w:hAnsi="Arial" w:cs="Arial"/>
          <w:sz w:val="20"/>
          <w:szCs w:val="20"/>
          <w:u w:val="single"/>
          <w:lang w:val="el-GR"/>
        </w:rPr>
      </w:pPr>
      <w:r w:rsidRPr="00652B77">
        <w:rPr>
          <w:rFonts w:ascii="Arial" w:hAnsi="Arial" w:cs="Arial"/>
          <w:b/>
          <w:bCs/>
          <w:sz w:val="20"/>
          <w:szCs w:val="20"/>
          <w:u w:val="single"/>
          <w:lang w:val="el-GR"/>
        </w:rPr>
        <w:t>Θέμα 6ο:</w:t>
      </w:r>
      <w:r w:rsidRPr="00652B77">
        <w:rPr>
          <w:rFonts w:ascii="Arial" w:hAnsi="Arial" w:cs="Arial"/>
          <w:sz w:val="20"/>
          <w:szCs w:val="20"/>
          <w:u w:val="single"/>
          <w:lang w:val="el-GR"/>
        </w:rPr>
        <w:t xml:space="preserve"> Λοιπά θέματα και ανακοινώσεις.</w:t>
      </w:r>
    </w:p>
    <w:p w:rsidR="00234F76" w:rsidRPr="00652B77" w:rsidRDefault="00234F76" w:rsidP="00652B77">
      <w:pPr>
        <w:widowControl/>
        <w:shd w:val="clear" w:color="auto" w:fill="FFFFFF"/>
        <w:spacing w:after="240" w:line="360" w:lineRule="auto"/>
        <w:jc w:val="both"/>
        <w:rPr>
          <w:rFonts w:ascii="Arial" w:hAnsi="Arial" w:cs="Arial"/>
          <w:color w:val="000000"/>
          <w:sz w:val="20"/>
          <w:szCs w:val="20"/>
          <w:lang w:val="el-GR" w:eastAsia="el-GR"/>
        </w:rPr>
      </w:pPr>
      <w:r w:rsidRPr="00652B77">
        <w:rPr>
          <w:rFonts w:ascii="Arial" w:hAnsi="Arial" w:cs="Arial"/>
          <w:color w:val="000000"/>
          <w:sz w:val="20"/>
          <w:szCs w:val="20"/>
          <w:lang w:val="el-GR" w:eastAsia="el-GR"/>
        </w:rPr>
        <w:t>Ακολούθησε ενημέρωση από τον κo Αθηναίο Απόστολο επί των τρεχουσών υποθέσεων της εταιρείας.</w:t>
      </w:r>
    </w:p>
    <w:p w:rsidR="00234F76" w:rsidRPr="00931B31" w:rsidRDefault="00234F76" w:rsidP="00652B77">
      <w:pPr>
        <w:widowControl/>
        <w:shd w:val="clear" w:color="auto" w:fill="FFFFFF"/>
        <w:spacing w:after="240" w:line="360" w:lineRule="auto"/>
        <w:rPr>
          <w:rFonts w:ascii="Arial" w:hAnsi="Arial" w:cs="Arial"/>
          <w:color w:val="000000"/>
          <w:sz w:val="20"/>
          <w:szCs w:val="20"/>
          <w:lang w:val="el-GR" w:eastAsia="el-GR"/>
        </w:rPr>
      </w:pPr>
      <w:r w:rsidRPr="00931B31">
        <w:rPr>
          <w:rFonts w:ascii="Arial" w:hAnsi="Arial" w:cs="Arial"/>
          <w:color w:val="000000"/>
          <w:sz w:val="20"/>
          <w:szCs w:val="20"/>
          <w:lang w:val="el-GR" w:eastAsia="el-GR"/>
        </w:rPr>
        <w:t> </w:t>
      </w:r>
    </w:p>
    <w:p w:rsidR="00234F76" w:rsidRPr="00931B31" w:rsidRDefault="00234F76" w:rsidP="00652B77">
      <w:pPr>
        <w:widowControl/>
        <w:shd w:val="clear" w:color="auto" w:fill="FFFFFF"/>
        <w:spacing w:after="240" w:line="360" w:lineRule="auto"/>
        <w:jc w:val="center"/>
        <w:rPr>
          <w:rFonts w:ascii="Arial" w:hAnsi="Arial" w:cs="Arial"/>
          <w:color w:val="000000"/>
          <w:sz w:val="20"/>
          <w:szCs w:val="20"/>
          <w:lang w:val="el-GR" w:eastAsia="el-GR"/>
        </w:rPr>
      </w:pPr>
      <w:r w:rsidRPr="00931B31">
        <w:rPr>
          <w:rFonts w:ascii="Arial" w:hAnsi="Arial" w:cs="Arial"/>
          <w:b/>
          <w:bCs/>
          <w:color w:val="000000"/>
          <w:sz w:val="20"/>
          <w:szCs w:val="20"/>
          <w:lang w:val="el-GR" w:eastAsia="el-GR"/>
        </w:rPr>
        <w:br/>
      </w:r>
      <w:r>
        <w:rPr>
          <w:rFonts w:ascii="Arial" w:hAnsi="Arial" w:cs="Arial"/>
          <w:b/>
          <w:bCs/>
          <w:color w:val="000000"/>
          <w:sz w:val="20"/>
          <w:szCs w:val="20"/>
          <w:lang w:val="el-GR" w:eastAsia="el-GR"/>
        </w:rPr>
        <w:t>Μυτιλήνη, 22</w:t>
      </w:r>
      <w:r w:rsidRPr="00931B31">
        <w:rPr>
          <w:rFonts w:ascii="Arial" w:hAnsi="Arial" w:cs="Arial"/>
          <w:b/>
          <w:bCs/>
          <w:color w:val="000000"/>
          <w:sz w:val="20"/>
          <w:szCs w:val="20"/>
          <w:lang w:val="el-GR" w:eastAsia="el-GR"/>
        </w:rPr>
        <w:t>.0</w:t>
      </w:r>
      <w:r>
        <w:rPr>
          <w:rFonts w:ascii="Arial" w:hAnsi="Arial" w:cs="Arial"/>
          <w:b/>
          <w:bCs/>
          <w:color w:val="000000"/>
          <w:sz w:val="20"/>
          <w:szCs w:val="20"/>
          <w:lang w:val="el-GR" w:eastAsia="el-GR"/>
        </w:rPr>
        <w:t>7</w:t>
      </w:r>
      <w:r w:rsidRPr="00931B31">
        <w:rPr>
          <w:rFonts w:ascii="Arial" w:hAnsi="Arial" w:cs="Arial"/>
          <w:b/>
          <w:bCs/>
          <w:color w:val="000000"/>
          <w:sz w:val="20"/>
          <w:szCs w:val="20"/>
          <w:lang w:val="el-GR" w:eastAsia="el-GR"/>
        </w:rPr>
        <w:t>.201</w:t>
      </w:r>
      <w:r>
        <w:rPr>
          <w:rFonts w:ascii="Arial" w:hAnsi="Arial" w:cs="Arial"/>
          <w:b/>
          <w:bCs/>
          <w:color w:val="000000"/>
          <w:sz w:val="20"/>
          <w:szCs w:val="20"/>
          <w:lang w:val="el-GR" w:eastAsia="el-GR"/>
        </w:rPr>
        <w:t>6</w:t>
      </w:r>
      <w:r w:rsidRPr="00931B31">
        <w:rPr>
          <w:rFonts w:ascii="Arial" w:hAnsi="Arial" w:cs="Arial"/>
          <w:color w:val="000000"/>
          <w:sz w:val="20"/>
          <w:szCs w:val="20"/>
          <w:lang w:val="el-GR" w:eastAsia="el-GR"/>
        </w:rPr>
        <w:br/>
      </w:r>
      <w:r w:rsidRPr="00931B31">
        <w:rPr>
          <w:rFonts w:ascii="Arial" w:hAnsi="Arial" w:cs="Arial"/>
          <w:b/>
          <w:bCs/>
          <w:color w:val="000000"/>
          <w:sz w:val="20"/>
          <w:szCs w:val="20"/>
          <w:lang w:val="el-GR" w:eastAsia="el-GR"/>
        </w:rPr>
        <w:t>Το Διοικητικό Συμβούλιο της Εταιρείας </w:t>
      </w:r>
    </w:p>
    <w:p w:rsidR="00234F76" w:rsidRPr="00931B31" w:rsidRDefault="00234F76" w:rsidP="00652B77">
      <w:pPr>
        <w:widowControl/>
        <w:shd w:val="clear" w:color="auto" w:fill="FFFFFF"/>
        <w:spacing w:after="240" w:line="360" w:lineRule="auto"/>
        <w:rPr>
          <w:rFonts w:ascii="Arial" w:hAnsi="Arial" w:cs="Arial"/>
          <w:color w:val="000000"/>
          <w:sz w:val="20"/>
          <w:szCs w:val="20"/>
          <w:lang w:val="el-GR" w:eastAsia="el-GR"/>
        </w:rPr>
      </w:pPr>
      <w:r w:rsidRPr="00931B31">
        <w:rPr>
          <w:rFonts w:ascii="Arial" w:hAnsi="Arial" w:cs="Arial"/>
          <w:color w:val="000000"/>
          <w:sz w:val="20"/>
          <w:szCs w:val="20"/>
          <w:lang w:val="el-GR" w:eastAsia="el-GR"/>
        </w:rPr>
        <w:t> </w:t>
      </w:r>
    </w:p>
    <w:p w:rsidR="00234F76" w:rsidRPr="00931B31" w:rsidRDefault="00234F76" w:rsidP="00652B77">
      <w:pPr>
        <w:widowControl/>
        <w:shd w:val="clear" w:color="auto" w:fill="FFFFFF"/>
        <w:spacing w:after="240" w:line="360" w:lineRule="auto"/>
        <w:rPr>
          <w:rFonts w:ascii="Arial" w:hAnsi="Arial" w:cs="Arial"/>
          <w:color w:val="000000"/>
          <w:sz w:val="20"/>
          <w:szCs w:val="20"/>
          <w:lang w:val="el-GR" w:eastAsia="el-GR"/>
        </w:rPr>
      </w:pPr>
      <w:r w:rsidRPr="00931B31">
        <w:rPr>
          <w:rFonts w:ascii="Arial" w:hAnsi="Arial" w:cs="Arial"/>
          <w:color w:val="000000"/>
          <w:sz w:val="20"/>
          <w:szCs w:val="20"/>
          <w:lang w:val="el-GR" w:eastAsia="el-GR"/>
        </w:rPr>
        <w:t> </w:t>
      </w:r>
    </w:p>
    <w:p w:rsidR="00234F76" w:rsidRPr="00931B31" w:rsidRDefault="00234F76" w:rsidP="00652B77">
      <w:pPr>
        <w:widowControl/>
        <w:shd w:val="clear" w:color="auto" w:fill="FFFFFF"/>
        <w:spacing w:line="360" w:lineRule="auto"/>
        <w:rPr>
          <w:rFonts w:ascii="Arial" w:hAnsi="Arial" w:cs="Arial"/>
          <w:color w:val="000000"/>
          <w:sz w:val="20"/>
          <w:szCs w:val="20"/>
          <w:lang w:val="el-GR" w:eastAsia="el-GR"/>
        </w:rPr>
      </w:pPr>
    </w:p>
    <w:p w:rsidR="00234F76" w:rsidRPr="00931B31" w:rsidRDefault="00234F76" w:rsidP="00652B77">
      <w:pPr>
        <w:widowControl/>
        <w:shd w:val="clear" w:color="auto" w:fill="FFFFFF"/>
        <w:spacing w:line="360" w:lineRule="auto"/>
        <w:rPr>
          <w:rFonts w:ascii="Arial" w:hAnsi="Arial" w:cs="Arial"/>
          <w:color w:val="000000"/>
          <w:sz w:val="20"/>
          <w:szCs w:val="20"/>
          <w:lang w:val="el-GR" w:eastAsia="el-GR"/>
        </w:rPr>
      </w:pPr>
      <w:r w:rsidRPr="00931B31">
        <w:rPr>
          <w:rFonts w:ascii="Arial" w:hAnsi="Arial" w:cs="Arial"/>
          <w:color w:val="000000"/>
          <w:sz w:val="20"/>
          <w:szCs w:val="20"/>
          <w:lang w:val="el-GR" w:eastAsia="el-GR"/>
        </w:rPr>
        <w:t>© Όμιλος Χρηματιστηρίου Αθηνών 2013-2016</w:t>
      </w:r>
    </w:p>
    <w:p w:rsidR="00234F76" w:rsidRPr="00931B31" w:rsidRDefault="00234F76" w:rsidP="00652B77">
      <w:pPr>
        <w:spacing w:line="360" w:lineRule="auto"/>
        <w:rPr>
          <w:color w:val="000000"/>
        </w:rPr>
      </w:pPr>
    </w:p>
    <w:p w:rsidR="00234F76" w:rsidRPr="00931B31" w:rsidRDefault="00234F76" w:rsidP="00652B77">
      <w:pPr>
        <w:spacing w:line="360" w:lineRule="auto"/>
        <w:rPr>
          <w:color w:val="000000"/>
        </w:rPr>
      </w:pPr>
    </w:p>
    <w:sectPr w:rsidR="00234F76" w:rsidRPr="00931B31" w:rsidSect="004844F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Mangal">
    <w:panose1 w:val="00000400000000000000"/>
    <w:charset w:val="01"/>
    <w:family w:val="roman"/>
    <w:notTrueType/>
    <w:pitch w:val="variable"/>
    <w:sig w:usb0="00002001" w:usb1="00000000" w:usb2="00000000" w:usb3="00000000" w:csb0="00000008"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pPr>
      <w:rPr>
        <w:rFonts w:ascii="Tahoma" w:hAnsi="Tahoma" w:cs="Times New Roman"/>
        <w:b/>
        <w:bCs/>
        <w:i/>
        <w:iCs/>
        <w:color w:val="000000"/>
        <w:kern w:val="1"/>
        <w:sz w:val="20"/>
        <w:szCs w:val="20"/>
      </w:rPr>
    </w:lvl>
    <w:lvl w:ilvl="1">
      <w:start w:val="1"/>
      <w:numFmt w:val="none"/>
      <w:suff w:val="nothing"/>
      <w:lvlText w:val=""/>
      <w:lvlJc w:val="left"/>
      <w:pPr>
        <w:tabs>
          <w:tab w:val="num" w:pos="0"/>
        </w:tabs>
      </w:pPr>
      <w:rPr>
        <w:rFonts w:ascii="Tahoma" w:hAnsi="Tahoma" w:cs="Times New Roman"/>
        <w:b/>
        <w:bCs/>
        <w:i/>
        <w:iCs/>
        <w:color w:val="000000"/>
        <w:kern w:val="1"/>
        <w:sz w:val="20"/>
        <w:szCs w:val="20"/>
      </w:rPr>
    </w:lvl>
    <w:lvl w:ilvl="2">
      <w:start w:val="1"/>
      <w:numFmt w:val="none"/>
      <w:suff w:val="nothing"/>
      <w:lvlText w:val=""/>
      <w:lvlJc w:val="left"/>
      <w:pPr>
        <w:tabs>
          <w:tab w:val="num" w:pos="0"/>
        </w:tabs>
      </w:pPr>
      <w:rPr>
        <w:rFonts w:ascii="Tahoma" w:hAnsi="Tahoma" w:cs="Times New Roman"/>
        <w:b/>
        <w:bCs/>
        <w:i/>
        <w:iCs/>
        <w:color w:val="000000"/>
        <w:kern w:val="1"/>
        <w:sz w:val="20"/>
        <w:szCs w:val="20"/>
      </w:rPr>
    </w:lvl>
    <w:lvl w:ilvl="3">
      <w:start w:val="1"/>
      <w:numFmt w:val="none"/>
      <w:suff w:val="nothing"/>
      <w:lvlText w:val=""/>
      <w:lvlJc w:val="left"/>
      <w:pPr>
        <w:tabs>
          <w:tab w:val="num" w:pos="0"/>
        </w:tabs>
      </w:pPr>
      <w:rPr>
        <w:rFonts w:ascii="Tahoma" w:hAnsi="Tahoma" w:cs="Times New Roman"/>
        <w:b/>
        <w:bCs/>
        <w:i/>
        <w:iCs/>
        <w:color w:val="000000"/>
        <w:kern w:val="1"/>
        <w:sz w:val="20"/>
        <w:szCs w:val="20"/>
      </w:rPr>
    </w:lvl>
    <w:lvl w:ilvl="4">
      <w:start w:val="1"/>
      <w:numFmt w:val="none"/>
      <w:suff w:val="nothing"/>
      <w:lvlText w:val=""/>
      <w:lvlJc w:val="left"/>
      <w:pPr>
        <w:tabs>
          <w:tab w:val="num" w:pos="0"/>
        </w:tabs>
      </w:pPr>
      <w:rPr>
        <w:rFonts w:ascii="Tahoma" w:hAnsi="Tahoma" w:cs="Times New Roman"/>
        <w:b/>
        <w:bCs/>
        <w:i/>
        <w:iCs/>
        <w:color w:val="000000"/>
        <w:kern w:val="1"/>
        <w:sz w:val="20"/>
        <w:szCs w:val="20"/>
      </w:rPr>
    </w:lvl>
    <w:lvl w:ilvl="5">
      <w:start w:val="1"/>
      <w:numFmt w:val="none"/>
      <w:suff w:val="nothing"/>
      <w:lvlText w:val=""/>
      <w:lvlJc w:val="left"/>
      <w:pPr>
        <w:tabs>
          <w:tab w:val="num" w:pos="0"/>
        </w:tabs>
      </w:pPr>
      <w:rPr>
        <w:rFonts w:ascii="Tahoma" w:hAnsi="Tahoma" w:cs="Times New Roman"/>
        <w:b/>
        <w:bCs/>
        <w:i/>
        <w:iCs/>
        <w:color w:val="000000"/>
        <w:kern w:val="1"/>
        <w:sz w:val="20"/>
        <w:szCs w:val="20"/>
      </w:rPr>
    </w:lvl>
    <w:lvl w:ilvl="6">
      <w:start w:val="1"/>
      <w:numFmt w:val="none"/>
      <w:suff w:val="nothing"/>
      <w:lvlText w:val=""/>
      <w:lvlJc w:val="left"/>
      <w:pPr>
        <w:tabs>
          <w:tab w:val="num" w:pos="0"/>
        </w:tabs>
      </w:pPr>
      <w:rPr>
        <w:rFonts w:ascii="Tahoma" w:hAnsi="Tahoma" w:cs="Times New Roman"/>
        <w:b/>
        <w:bCs/>
        <w:i/>
        <w:iCs/>
        <w:color w:val="000000"/>
        <w:kern w:val="1"/>
        <w:sz w:val="20"/>
        <w:szCs w:val="20"/>
      </w:rPr>
    </w:lvl>
    <w:lvl w:ilvl="7">
      <w:start w:val="1"/>
      <w:numFmt w:val="none"/>
      <w:suff w:val="nothing"/>
      <w:lvlText w:val=""/>
      <w:lvlJc w:val="left"/>
      <w:pPr>
        <w:tabs>
          <w:tab w:val="num" w:pos="0"/>
        </w:tabs>
      </w:pPr>
      <w:rPr>
        <w:rFonts w:ascii="Tahoma" w:hAnsi="Tahoma" w:cs="Times New Roman"/>
        <w:b/>
        <w:bCs/>
        <w:i/>
        <w:iCs/>
        <w:color w:val="000000"/>
        <w:kern w:val="1"/>
        <w:sz w:val="20"/>
        <w:szCs w:val="20"/>
      </w:rPr>
    </w:lvl>
    <w:lvl w:ilvl="8">
      <w:start w:val="1"/>
      <w:numFmt w:val="none"/>
      <w:suff w:val="nothing"/>
      <w:lvlText w:val=""/>
      <w:lvlJc w:val="left"/>
      <w:pPr>
        <w:tabs>
          <w:tab w:val="num" w:pos="0"/>
        </w:tabs>
      </w:pPr>
      <w:rPr>
        <w:rFonts w:ascii="Tahoma" w:hAnsi="Tahoma" w:cs="Times New Roman"/>
        <w:b/>
        <w:bCs/>
        <w:i/>
        <w:iCs/>
        <w:color w:val="000000"/>
        <w:kern w:val="1"/>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5BE3"/>
    <w:rsid w:val="00234F76"/>
    <w:rsid w:val="004844F6"/>
    <w:rsid w:val="00652B77"/>
    <w:rsid w:val="006858FE"/>
    <w:rsid w:val="008A6F72"/>
    <w:rsid w:val="008F7802"/>
    <w:rsid w:val="00904BE4"/>
    <w:rsid w:val="00931B31"/>
    <w:rsid w:val="00B7577D"/>
    <w:rsid w:val="00B84BF5"/>
    <w:rsid w:val="00BD1B73"/>
    <w:rsid w:val="00F25BE3"/>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BE4"/>
    <w:pPr>
      <w:widowControl w:val="0"/>
    </w:pPr>
    <w:rPr>
      <w:lang w:val="en-US" w:eastAsia="en-US"/>
    </w:rPr>
  </w:style>
  <w:style w:type="paragraph" w:styleId="Heading1">
    <w:name w:val="heading 1"/>
    <w:basedOn w:val="Normal"/>
    <w:link w:val="Heading1Char"/>
    <w:uiPriority w:val="99"/>
    <w:qFormat/>
    <w:rsid w:val="00F25BE3"/>
    <w:pPr>
      <w:widowControl/>
      <w:spacing w:before="100" w:beforeAutospacing="1" w:after="100" w:afterAutospacing="1"/>
      <w:outlineLvl w:val="0"/>
    </w:pPr>
    <w:rPr>
      <w:rFonts w:ascii="Times New Roman" w:eastAsia="Times New Roman" w:hAnsi="Times New Roman"/>
      <w:b/>
      <w:bCs/>
      <w:kern w:val="36"/>
      <w:sz w:val="48"/>
      <w:szCs w:val="48"/>
      <w:lang w:val="el-GR" w:eastAsia="el-GR"/>
    </w:rPr>
  </w:style>
  <w:style w:type="paragraph" w:styleId="Heading2">
    <w:name w:val="heading 2"/>
    <w:basedOn w:val="Normal"/>
    <w:link w:val="Heading2Char"/>
    <w:uiPriority w:val="99"/>
    <w:qFormat/>
    <w:rsid w:val="00F25BE3"/>
    <w:pPr>
      <w:widowControl/>
      <w:spacing w:before="100" w:beforeAutospacing="1" w:after="100" w:afterAutospacing="1"/>
      <w:outlineLvl w:val="1"/>
    </w:pPr>
    <w:rPr>
      <w:rFonts w:ascii="Times New Roman" w:eastAsia="Times New Roman" w:hAnsi="Times New Roman"/>
      <w:b/>
      <w:bCs/>
      <w:sz w:val="36"/>
      <w:szCs w:val="36"/>
      <w:lang w:val="el-GR" w:eastAsia="el-G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5BE3"/>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F25BE3"/>
    <w:rPr>
      <w:rFonts w:ascii="Times New Roman" w:hAnsi="Times New Roman" w:cs="Times New Roman"/>
      <w:b/>
      <w:bCs/>
      <w:sz w:val="36"/>
      <w:szCs w:val="36"/>
    </w:rPr>
  </w:style>
  <w:style w:type="paragraph" w:styleId="ListParagraph">
    <w:name w:val="List Paragraph"/>
    <w:basedOn w:val="Normal"/>
    <w:uiPriority w:val="99"/>
    <w:qFormat/>
    <w:rsid w:val="00904BE4"/>
  </w:style>
  <w:style w:type="paragraph" w:customStyle="1" w:styleId="TableParagraph">
    <w:name w:val="Table Paragraph"/>
    <w:basedOn w:val="Normal"/>
    <w:uiPriority w:val="99"/>
    <w:rsid w:val="00904BE4"/>
  </w:style>
  <w:style w:type="character" w:styleId="Hyperlink">
    <w:name w:val="Hyperlink"/>
    <w:basedOn w:val="DefaultParagraphFont"/>
    <w:uiPriority w:val="99"/>
    <w:semiHidden/>
    <w:rsid w:val="00F25BE3"/>
    <w:rPr>
      <w:rFonts w:cs="Times New Roman"/>
      <w:color w:val="0000FF"/>
      <w:u w:val="single"/>
    </w:rPr>
  </w:style>
  <w:style w:type="paragraph" w:styleId="NormalWeb">
    <w:name w:val="Normal (Web)"/>
    <w:basedOn w:val="Normal"/>
    <w:uiPriority w:val="99"/>
    <w:semiHidden/>
    <w:rsid w:val="00F25BE3"/>
    <w:pPr>
      <w:widowControl/>
      <w:spacing w:before="100" w:beforeAutospacing="1" w:after="100" w:afterAutospacing="1"/>
    </w:pPr>
    <w:rPr>
      <w:rFonts w:ascii="Times New Roman" w:eastAsia="Times New Roman" w:hAnsi="Times New Roman"/>
      <w:sz w:val="24"/>
      <w:szCs w:val="24"/>
      <w:lang w:val="el-GR" w:eastAsia="el-GR"/>
    </w:rPr>
  </w:style>
  <w:style w:type="character" w:styleId="Strong">
    <w:name w:val="Strong"/>
    <w:basedOn w:val="DefaultParagraphFont"/>
    <w:uiPriority w:val="99"/>
    <w:qFormat/>
    <w:rsid w:val="00F25BE3"/>
    <w:rPr>
      <w:rFonts w:cs="Times New Roman"/>
      <w:b/>
      <w:bCs/>
    </w:rPr>
  </w:style>
  <w:style w:type="character" w:customStyle="1" w:styleId="apple-converted-space">
    <w:name w:val="apple-converted-space"/>
    <w:basedOn w:val="DefaultParagraphFont"/>
    <w:uiPriority w:val="99"/>
    <w:rsid w:val="00F25BE3"/>
    <w:rPr>
      <w:rFonts w:cs="Times New Roman"/>
    </w:rPr>
  </w:style>
  <w:style w:type="paragraph" w:styleId="BalloonText">
    <w:name w:val="Balloon Text"/>
    <w:basedOn w:val="Normal"/>
    <w:link w:val="BalloonTextChar"/>
    <w:uiPriority w:val="99"/>
    <w:semiHidden/>
    <w:rsid w:val="00F25BE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5BE3"/>
    <w:rPr>
      <w:rFonts w:ascii="Tahoma" w:hAnsi="Tahoma" w:cs="Tahoma"/>
      <w:sz w:val="16"/>
      <w:szCs w:val="16"/>
      <w:lang w:val="en-US" w:eastAsia="en-US"/>
    </w:rPr>
  </w:style>
  <w:style w:type="paragraph" w:customStyle="1" w:styleId="Web">
    <w:name w:val="Κανονικό (Web)"/>
    <w:basedOn w:val="Normal"/>
    <w:uiPriority w:val="99"/>
    <w:rsid w:val="00652B77"/>
    <w:pPr>
      <w:widowControl/>
      <w:spacing w:before="280" w:after="280"/>
    </w:pPr>
    <w:rPr>
      <w:rFonts w:ascii="Times New Roman" w:hAnsi="Times New Roman"/>
      <w:sz w:val="24"/>
      <w:szCs w:val="24"/>
      <w:lang w:val="el-GR" w:eastAsia="ar-SA"/>
    </w:rPr>
  </w:style>
  <w:style w:type="paragraph" w:styleId="List">
    <w:name w:val="List"/>
    <w:basedOn w:val="BodyText"/>
    <w:uiPriority w:val="99"/>
    <w:rsid w:val="00652B77"/>
    <w:pPr>
      <w:widowControl/>
      <w:suppressAutoHyphens/>
    </w:pPr>
    <w:rPr>
      <w:rFonts w:ascii="Times New Roman" w:hAnsi="Times New Roman" w:cs="Mangal"/>
      <w:sz w:val="24"/>
      <w:szCs w:val="24"/>
      <w:lang w:val="el-GR" w:eastAsia="ar-SA"/>
    </w:rPr>
  </w:style>
  <w:style w:type="paragraph" w:styleId="BodyText">
    <w:name w:val="Body Text"/>
    <w:basedOn w:val="Normal"/>
    <w:link w:val="BodyTextChar"/>
    <w:uiPriority w:val="99"/>
    <w:rsid w:val="00652B77"/>
    <w:pPr>
      <w:spacing w:after="120"/>
    </w:pPr>
  </w:style>
  <w:style w:type="character" w:customStyle="1" w:styleId="BodyTextChar">
    <w:name w:val="Body Text Char"/>
    <w:basedOn w:val="DefaultParagraphFont"/>
    <w:link w:val="BodyText"/>
    <w:uiPriority w:val="99"/>
    <w:semiHidden/>
    <w:rsid w:val="00F32359"/>
    <w:rPr>
      <w:lang w:val="en-US" w:eastAsia="en-US"/>
    </w:rPr>
  </w:style>
</w:styles>
</file>

<file path=word/webSettings.xml><?xml version="1.0" encoding="utf-8"?>
<w:webSettings xmlns:r="http://schemas.openxmlformats.org/officeDocument/2006/relationships" xmlns:w="http://schemas.openxmlformats.org/wordprocessingml/2006/main">
  <w:divs>
    <w:div w:id="1201481211">
      <w:marLeft w:val="0"/>
      <w:marRight w:val="0"/>
      <w:marTop w:val="0"/>
      <w:marBottom w:val="0"/>
      <w:divBdr>
        <w:top w:val="none" w:sz="0" w:space="0" w:color="auto"/>
        <w:left w:val="none" w:sz="0" w:space="0" w:color="auto"/>
        <w:bottom w:val="none" w:sz="0" w:space="0" w:color="auto"/>
        <w:right w:val="none" w:sz="0" w:space="0" w:color="auto"/>
      </w:divBdr>
      <w:divsChild>
        <w:div w:id="1201481202">
          <w:marLeft w:val="0"/>
          <w:marRight w:val="0"/>
          <w:marTop w:val="0"/>
          <w:marBottom w:val="0"/>
          <w:divBdr>
            <w:top w:val="none" w:sz="0" w:space="0" w:color="auto"/>
            <w:left w:val="none" w:sz="0" w:space="0" w:color="auto"/>
            <w:bottom w:val="none" w:sz="0" w:space="0" w:color="auto"/>
            <w:right w:val="none" w:sz="0" w:space="0" w:color="auto"/>
          </w:divBdr>
          <w:divsChild>
            <w:div w:id="1201481201">
              <w:marLeft w:val="0"/>
              <w:marRight w:val="0"/>
              <w:marTop w:val="0"/>
              <w:marBottom w:val="0"/>
              <w:divBdr>
                <w:top w:val="none" w:sz="0" w:space="0" w:color="auto"/>
                <w:left w:val="none" w:sz="0" w:space="0" w:color="auto"/>
                <w:bottom w:val="none" w:sz="0" w:space="0" w:color="auto"/>
                <w:right w:val="none" w:sz="0" w:space="0" w:color="auto"/>
              </w:divBdr>
            </w:div>
            <w:div w:id="1201481203">
              <w:marLeft w:val="0"/>
              <w:marRight w:val="0"/>
              <w:marTop w:val="0"/>
              <w:marBottom w:val="0"/>
              <w:divBdr>
                <w:top w:val="none" w:sz="0" w:space="0" w:color="auto"/>
                <w:left w:val="none" w:sz="0" w:space="0" w:color="auto"/>
                <w:bottom w:val="none" w:sz="0" w:space="0" w:color="auto"/>
                <w:right w:val="none" w:sz="0" w:space="0" w:color="auto"/>
              </w:divBdr>
              <w:divsChild>
                <w:div w:id="1201481200">
                  <w:marLeft w:val="0"/>
                  <w:marRight w:val="0"/>
                  <w:marTop w:val="0"/>
                  <w:marBottom w:val="0"/>
                  <w:divBdr>
                    <w:top w:val="none" w:sz="0" w:space="0" w:color="auto"/>
                    <w:left w:val="none" w:sz="0" w:space="0" w:color="auto"/>
                    <w:bottom w:val="none" w:sz="0" w:space="0" w:color="auto"/>
                    <w:right w:val="none" w:sz="0" w:space="0" w:color="auto"/>
                  </w:divBdr>
                  <w:divsChild>
                    <w:div w:id="1201481207">
                      <w:marLeft w:val="0"/>
                      <w:marRight w:val="0"/>
                      <w:marTop w:val="0"/>
                      <w:marBottom w:val="0"/>
                      <w:divBdr>
                        <w:top w:val="none" w:sz="0" w:space="0" w:color="auto"/>
                        <w:left w:val="none" w:sz="0" w:space="0" w:color="auto"/>
                        <w:bottom w:val="none" w:sz="0" w:space="0" w:color="auto"/>
                        <w:right w:val="none" w:sz="0" w:space="0" w:color="auto"/>
                      </w:divBdr>
                      <w:divsChild>
                        <w:div w:id="120148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81212">
              <w:marLeft w:val="0"/>
              <w:marRight w:val="0"/>
              <w:marTop w:val="0"/>
              <w:marBottom w:val="0"/>
              <w:divBdr>
                <w:top w:val="none" w:sz="0" w:space="0" w:color="auto"/>
                <w:left w:val="none" w:sz="0" w:space="0" w:color="auto"/>
                <w:bottom w:val="none" w:sz="0" w:space="0" w:color="auto"/>
                <w:right w:val="none" w:sz="0" w:space="0" w:color="auto"/>
              </w:divBdr>
              <w:divsChild>
                <w:div w:id="1201481204">
                  <w:marLeft w:val="150"/>
                  <w:marRight w:val="150"/>
                  <w:marTop w:val="150"/>
                  <w:marBottom w:val="150"/>
                  <w:divBdr>
                    <w:top w:val="none" w:sz="0" w:space="0" w:color="auto"/>
                    <w:left w:val="none" w:sz="0" w:space="0" w:color="auto"/>
                    <w:bottom w:val="none" w:sz="0" w:space="0" w:color="auto"/>
                    <w:right w:val="none" w:sz="0" w:space="0" w:color="auto"/>
                  </w:divBdr>
                  <w:divsChild>
                    <w:div w:id="1201481210">
                      <w:marLeft w:val="0"/>
                      <w:marRight w:val="0"/>
                      <w:marTop w:val="0"/>
                      <w:marBottom w:val="0"/>
                      <w:divBdr>
                        <w:top w:val="none" w:sz="0" w:space="0" w:color="auto"/>
                        <w:left w:val="none" w:sz="0" w:space="0" w:color="auto"/>
                        <w:bottom w:val="none" w:sz="0" w:space="0" w:color="auto"/>
                        <w:right w:val="none" w:sz="0" w:space="0" w:color="auto"/>
                      </w:divBdr>
                    </w:div>
                    <w:div w:id="1201481214">
                      <w:marLeft w:val="0"/>
                      <w:marRight w:val="0"/>
                      <w:marTop w:val="0"/>
                      <w:marBottom w:val="0"/>
                      <w:divBdr>
                        <w:top w:val="none" w:sz="0" w:space="0" w:color="auto"/>
                        <w:left w:val="none" w:sz="0" w:space="0" w:color="auto"/>
                        <w:bottom w:val="none" w:sz="0" w:space="0" w:color="auto"/>
                        <w:right w:val="none" w:sz="0" w:space="0" w:color="auto"/>
                      </w:divBdr>
                    </w:div>
                  </w:divsChild>
                </w:div>
                <w:div w:id="1201481206">
                  <w:marLeft w:val="300"/>
                  <w:marRight w:val="300"/>
                  <w:marTop w:val="300"/>
                  <w:marBottom w:val="300"/>
                  <w:divBdr>
                    <w:top w:val="none" w:sz="0" w:space="0" w:color="auto"/>
                    <w:left w:val="none" w:sz="0" w:space="0" w:color="auto"/>
                    <w:bottom w:val="none" w:sz="0" w:space="0" w:color="auto"/>
                    <w:right w:val="none" w:sz="0" w:space="0" w:color="auto"/>
                  </w:divBdr>
                </w:div>
                <w:div w:id="12014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81205">
          <w:marLeft w:val="0"/>
          <w:marRight w:val="0"/>
          <w:marTop w:val="0"/>
          <w:marBottom w:val="0"/>
          <w:divBdr>
            <w:top w:val="none" w:sz="0" w:space="0" w:color="auto"/>
            <w:left w:val="none" w:sz="0" w:space="0" w:color="auto"/>
            <w:bottom w:val="none" w:sz="0" w:space="0" w:color="auto"/>
            <w:right w:val="none" w:sz="0" w:space="0" w:color="auto"/>
          </w:divBdr>
          <w:divsChild>
            <w:div w:id="1201481208">
              <w:marLeft w:val="0"/>
              <w:marRight w:val="0"/>
              <w:marTop w:val="0"/>
              <w:marBottom w:val="0"/>
              <w:divBdr>
                <w:top w:val="none" w:sz="0" w:space="0" w:color="auto"/>
                <w:left w:val="none" w:sz="0" w:space="0" w:color="auto"/>
                <w:bottom w:val="none" w:sz="0" w:space="0" w:color="auto"/>
                <w:right w:val="none" w:sz="0" w:space="0" w:color="auto"/>
              </w:divBdr>
              <w:divsChild>
                <w:div w:id="12014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81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830</Words>
  <Characters>4484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ΑΠΟΦΑΣΕΙΣ ΤΗΣ Β’ ΕΠΑΝΑΛΗΠΤΙΚΗΣ ΕΤΗΣΙΑΣ ΤΑΚΤΙΚΗΣ ΓΕΝΙΚΗΣ ΣΥΝΕΛΕΥΣΗΣ ΤΩΝ ΜΕΤΟΧΩΝ ΤΗΣ 22</dc:title>
  <dc:subject/>
  <dc:creator>user</dc:creator>
  <cp:keywords/>
  <dc:description/>
  <cp:lastModifiedBy>balasia</cp:lastModifiedBy>
  <cp:revision>2</cp:revision>
  <cp:lastPrinted>2016-08-12T11:29:00Z</cp:lastPrinted>
  <dcterms:created xsi:type="dcterms:W3CDTF">2016-08-12T11:36:00Z</dcterms:created>
  <dcterms:modified xsi:type="dcterms:W3CDTF">2016-08-12T11:36:00Z</dcterms:modified>
</cp:coreProperties>
</file>