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8A" w:rsidRPr="00EA77FC" w:rsidRDefault="00A7308A" w:rsidP="001E24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EA77FC">
        <w:rPr>
          <w:rFonts w:ascii="Arial" w:hAnsi="Arial" w:cs="Arial"/>
          <w:b/>
        </w:rPr>
        <w:t>ΔΕΛΤΙΟ ΤΥΠΟΥ</w:t>
      </w:r>
    </w:p>
    <w:p w:rsidR="00A7308A" w:rsidRPr="00490369" w:rsidRDefault="00490369" w:rsidP="001E247E">
      <w:pPr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837475" w:rsidRPr="00EA77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Μαΐου</w:t>
      </w:r>
      <w:r w:rsidR="00837475" w:rsidRPr="00EA77F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</w:p>
    <w:p w:rsidR="00A7308A" w:rsidRPr="00EA77FC" w:rsidRDefault="00A7308A" w:rsidP="001E247E">
      <w:pPr>
        <w:spacing w:before="120" w:after="120" w:line="360" w:lineRule="aut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shd w:val="clear" w:color="auto" w:fill="CCCCCC"/>
        <w:tblLook w:val="01E0" w:firstRow="1" w:lastRow="1" w:firstColumn="1" w:lastColumn="1" w:noHBand="0" w:noVBand="0"/>
      </w:tblPr>
      <w:tblGrid>
        <w:gridCol w:w="8528"/>
      </w:tblGrid>
      <w:tr w:rsidR="00A7308A" w:rsidRPr="00EA77FC" w:rsidTr="000F0BD8">
        <w:trPr>
          <w:trHeight w:val="401"/>
          <w:jc w:val="center"/>
        </w:trPr>
        <w:tc>
          <w:tcPr>
            <w:tcW w:w="8528" w:type="dxa"/>
            <w:shd w:val="clear" w:color="auto" w:fill="CCCCCC"/>
            <w:vAlign w:val="center"/>
          </w:tcPr>
          <w:p w:rsidR="00A7308A" w:rsidRPr="00EA77FC" w:rsidRDefault="00A7308A" w:rsidP="0049036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7FC">
              <w:rPr>
                <w:rFonts w:ascii="Arial" w:hAnsi="Arial" w:cs="Arial"/>
                <w:b/>
                <w:sz w:val="22"/>
                <w:szCs w:val="22"/>
              </w:rPr>
              <w:t xml:space="preserve">Αποτελέσματα </w:t>
            </w:r>
            <w:r w:rsidR="00490369"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Pr="00EA77FC">
              <w:rPr>
                <w:rFonts w:ascii="Arial" w:hAnsi="Arial" w:cs="Arial"/>
                <w:b/>
                <w:sz w:val="22"/>
                <w:szCs w:val="22"/>
              </w:rPr>
              <w:t xml:space="preserve">’ </w:t>
            </w:r>
            <w:r w:rsidR="002112BF" w:rsidRPr="00EA77FC"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Pr="00EA77FC">
              <w:rPr>
                <w:rFonts w:ascii="Arial" w:hAnsi="Arial" w:cs="Arial"/>
                <w:b/>
                <w:sz w:val="22"/>
                <w:szCs w:val="22"/>
              </w:rPr>
              <w:t>ριμήνου</w:t>
            </w:r>
            <w:r w:rsidR="00336F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190A" w:rsidRPr="00697AAC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49036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A7308A" w:rsidRPr="00EA77FC" w:rsidRDefault="00A7308A" w:rsidP="001E247E">
      <w:pPr>
        <w:spacing w:before="120" w:after="120" w:line="360" w:lineRule="auto"/>
        <w:jc w:val="both"/>
        <w:rPr>
          <w:rFonts w:ascii="Arial" w:hAnsi="Arial" w:cs="Arial"/>
          <w:sz w:val="14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28"/>
      </w:tblGrid>
      <w:tr w:rsidR="00A7308A" w:rsidRPr="00EA77FC" w:rsidTr="000F0BD8">
        <w:trPr>
          <w:jc w:val="center"/>
        </w:trPr>
        <w:tc>
          <w:tcPr>
            <w:tcW w:w="8528" w:type="dxa"/>
            <w:shd w:val="clear" w:color="auto" w:fill="auto"/>
            <w:vAlign w:val="center"/>
          </w:tcPr>
          <w:p w:rsidR="0059440E" w:rsidRDefault="00327F24" w:rsidP="0059440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Καθαρά Κέρδη Α’ Τριμήνου €124 εκατ., αυξημένα κατά </w:t>
            </w:r>
            <w:r w:rsidR="00734B6E" w:rsidRPr="00734B6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87,5% </w:t>
            </w:r>
          </w:p>
          <w:p w:rsidR="00A7308A" w:rsidRPr="00FF1896" w:rsidRDefault="00327F24" w:rsidP="0059440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Αύξηση παραγωγής και πωλήσεων </w:t>
            </w:r>
          </w:p>
        </w:tc>
      </w:tr>
    </w:tbl>
    <w:p w:rsidR="009F5A1F" w:rsidRPr="00D16E38" w:rsidRDefault="009F5A1F" w:rsidP="0079627C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61B6" w:rsidRPr="003315F0" w:rsidRDefault="00490369" w:rsidP="0079627C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Όμιλος ΕΛΛΗΝΙΚΑ ΠΕΤΡΕΛΑΙΑ ανακοίνωσε </w:t>
      </w:r>
      <w:r w:rsidR="00D241CA">
        <w:rPr>
          <w:rFonts w:ascii="Arial" w:hAnsi="Arial" w:cs="Arial"/>
          <w:sz w:val="20"/>
          <w:szCs w:val="20"/>
        </w:rPr>
        <w:t xml:space="preserve">ισχυρά </w:t>
      </w:r>
      <w:r>
        <w:rPr>
          <w:rFonts w:ascii="Arial" w:hAnsi="Arial" w:cs="Arial"/>
          <w:sz w:val="20"/>
          <w:szCs w:val="20"/>
        </w:rPr>
        <w:t xml:space="preserve">οικονομικά αποτελέσματα, σύμφωνα με ΔΠΧΠ, με </w:t>
      </w:r>
      <w:r w:rsidRPr="009F37C7">
        <w:rPr>
          <w:rFonts w:ascii="Arial" w:hAnsi="Arial" w:cs="Arial"/>
          <w:b/>
          <w:sz w:val="20"/>
          <w:szCs w:val="20"/>
        </w:rPr>
        <w:t xml:space="preserve">τα </w:t>
      </w:r>
      <w:r w:rsidR="009F37C7" w:rsidRPr="009F37C7">
        <w:rPr>
          <w:rFonts w:ascii="Arial" w:hAnsi="Arial" w:cs="Arial"/>
          <w:b/>
          <w:sz w:val="20"/>
          <w:szCs w:val="20"/>
        </w:rPr>
        <w:t xml:space="preserve">Συγκρίσιμα Κέρδη </w:t>
      </w:r>
      <w:r w:rsidR="009F37C7" w:rsidRPr="009F37C7">
        <w:rPr>
          <w:rFonts w:ascii="Arial" w:hAnsi="Arial" w:cs="Arial"/>
          <w:b/>
          <w:sz w:val="20"/>
          <w:szCs w:val="20"/>
          <w:lang w:val="en-GB"/>
        </w:rPr>
        <w:t>EBITDA</w:t>
      </w:r>
      <w:r w:rsidR="009F37C7" w:rsidRPr="009F37C7">
        <w:rPr>
          <w:rFonts w:ascii="Arial" w:hAnsi="Arial" w:cs="Arial"/>
          <w:b/>
          <w:sz w:val="20"/>
          <w:szCs w:val="20"/>
        </w:rPr>
        <w:t xml:space="preserve"> του Α</w:t>
      </w:r>
      <w:r w:rsidR="009B798E" w:rsidRPr="009B798E">
        <w:rPr>
          <w:rFonts w:ascii="Arial" w:hAnsi="Arial" w:cs="Arial"/>
          <w:b/>
          <w:sz w:val="20"/>
          <w:szCs w:val="20"/>
        </w:rPr>
        <w:t>’</w:t>
      </w:r>
      <w:r w:rsidR="009F37C7" w:rsidRPr="009F37C7">
        <w:rPr>
          <w:rFonts w:ascii="Arial" w:hAnsi="Arial" w:cs="Arial"/>
          <w:b/>
          <w:sz w:val="20"/>
          <w:szCs w:val="20"/>
        </w:rPr>
        <w:t xml:space="preserve"> Τριμήνου να ανέρχονται στα €229 εκατ., αυξημένα κατά 35%</w:t>
      </w:r>
      <w:r w:rsidR="009F37C7">
        <w:rPr>
          <w:rFonts w:ascii="Arial" w:hAnsi="Arial" w:cs="Arial"/>
          <w:sz w:val="20"/>
          <w:szCs w:val="20"/>
        </w:rPr>
        <w:t xml:space="preserve"> και τα </w:t>
      </w:r>
      <w:r w:rsidRPr="00BB52B5">
        <w:rPr>
          <w:rFonts w:ascii="Arial" w:hAnsi="Arial" w:cs="Arial"/>
          <w:b/>
          <w:sz w:val="20"/>
          <w:szCs w:val="20"/>
        </w:rPr>
        <w:t xml:space="preserve">Συγκρίσιμα Καθαρά Κέρδη </w:t>
      </w:r>
      <w:r w:rsidR="00BB52B5" w:rsidRPr="00BB52B5">
        <w:rPr>
          <w:rFonts w:ascii="Arial" w:hAnsi="Arial" w:cs="Arial"/>
          <w:b/>
          <w:sz w:val="20"/>
          <w:szCs w:val="20"/>
        </w:rPr>
        <w:t>στα €12</w:t>
      </w:r>
      <w:r w:rsidR="00146F5E" w:rsidRPr="00146F5E">
        <w:rPr>
          <w:rFonts w:ascii="Arial" w:hAnsi="Arial" w:cs="Arial"/>
          <w:b/>
          <w:sz w:val="20"/>
          <w:szCs w:val="20"/>
        </w:rPr>
        <w:t>6</w:t>
      </w:r>
      <w:r w:rsidR="00BB52B5" w:rsidRPr="00BB52B5">
        <w:rPr>
          <w:rFonts w:ascii="Arial" w:hAnsi="Arial" w:cs="Arial"/>
          <w:b/>
          <w:sz w:val="20"/>
          <w:szCs w:val="20"/>
        </w:rPr>
        <w:t xml:space="preserve"> εκατ., αυξημένα κατά </w:t>
      </w:r>
      <w:r w:rsidR="00146F5E" w:rsidRPr="00146F5E">
        <w:rPr>
          <w:rFonts w:ascii="Arial" w:hAnsi="Arial" w:cs="Arial"/>
          <w:b/>
          <w:sz w:val="20"/>
          <w:szCs w:val="20"/>
        </w:rPr>
        <w:t>80</w:t>
      </w:r>
      <w:r w:rsidR="00BB52B5" w:rsidRPr="00BB52B5">
        <w:rPr>
          <w:rFonts w:ascii="Arial" w:hAnsi="Arial" w:cs="Arial"/>
          <w:b/>
          <w:sz w:val="20"/>
          <w:szCs w:val="20"/>
        </w:rPr>
        <w:t>%</w:t>
      </w:r>
      <w:r w:rsidR="00BB52B5">
        <w:rPr>
          <w:rFonts w:ascii="Arial" w:hAnsi="Arial" w:cs="Arial"/>
          <w:sz w:val="20"/>
          <w:szCs w:val="20"/>
        </w:rPr>
        <w:t xml:space="preserve">, σε σχέση με το Α’ Τρίμηνο 2016. Τα διεθνή περιθώρια διύλισης παρέμειναν σε </w:t>
      </w:r>
      <w:r w:rsidR="00DC3696">
        <w:rPr>
          <w:rFonts w:ascii="Arial" w:hAnsi="Arial" w:cs="Arial"/>
          <w:sz w:val="20"/>
          <w:szCs w:val="20"/>
        </w:rPr>
        <w:t>υ</w:t>
      </w:r>
      <w:r w:rsidR="00D241CA">
        <w:rPr>
          <w:rFonts w:ascii="Arial" w:hAnsi="Arial" w:cs="Arial"/>
          <w:sz w:val="20"/>
          <w:szCs w:val="20"/>
        </w:rPr>
        <w:t>ψηλά επίπεδα</w:t>
      </w:r>
      <w:r w:rsidR="00BB52B5">
        <w:rPr>
          <w:rFonts w:ascii="Arial" w:hAnsi="Arial" w:cs="Arial"/>
          <w:sz w:val="20"/>
          <w:szCs w:val="20"/>
        </w:rPr>
        <w:t xml:space="preserve"> </w:t>
      </w:r>
      <w:r w:rsidR="00D241CA">
        <w:rPr>
          <w:rFonts w:ascii="Arial" w:hAnsi="Arial" w:cs="Arial"/>
          <w:sz w:val="20"/>
          <w:szCs w:val="20"/>
        </w:rPr>
        <w:t xml:space="preserve">και </w:t>
      </w:r>
      <w:r w:rsidR="00BB52B5">
        <w:rPr>
          <w:rFonts w:ascii="Arial" w:hAnsi="Arial" w:cs="Arial"/>
          <w:sz w:val="20"/>
          <w:szCs w:val="20"/>
        </w:rPr>
        <w:t>οι λειτουργικές επιδόσεις βελτιώθηκαν σε όλες τις δραστηριότητες του Ομίλου.</w:t>
      </w:r>
    </w:p>
    <w:p w:rsidR="009F37C7" w:rsidRDefault="00BB52B5" w:rsidP="0079627C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</w:t>
      </w:r>
      <w:r w:rsidR="00D241CA">
        <w:rPr>
          <w:rFonts w:ascii="Arial" w:hAnsi="Arial" w:cs="Arial"/>
          <w:sz w:val="20"/>
          <w:szCs w:val="20"/>
        </w:rPr>
        <w:t xml:space="preserve">βελτιωμένη </w:t>
      </w:r>
      <w:r>
        <w:rPr>
          <w:rFonts w:ascii="Arial" w:hAnsi="Arial" w:cs="Arial"/>
          <w:sz w:val="20"/>
          <w:szCs w:val="20"/>
        </w:rPr>
        <w:t xml:space="preserve">λειτουργία των διυλιστηρίων </w:t>
      </w:r>
      <w:r w:rsidR="008F2365">
        <w:rPr>
          <w:rFonts w:ascii="Arial" w:hAnsi="Arial" w:cs="Arial"/>
          <w:sz w:val="20"/>
          <w:szCs w:val="20"/>
        </w:rPr>
        <w:t>του Ομίλου</w:t>
      </w:r>
      <w:r>
        <w:rPr>
          <w:rFonts w:ascii="Arial" w:hAnsi="Arial" w:cs="Arial"/>
          <w:sz w:val="20"/>
          <w:szCs w:val="20"/>
        </w:rPr>
        <w:t xml:space="preserve"> οδήγησε σε αύξηση παραγωγής και πωλήσεων</w:t>
      </w:r>
      <w:r w:rsidR="008F23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κατά 11% και 16%</w:t>
      </w:r>
      <w:r w:rsidR="00C33145" w:rsidRPr="00C33145">
        <w:rPr>
          <w:rFonts w:ascii="Arial" w:hAnsi="Arial" w:cs="Arial"/>
          <w:sz w:val="20"/>
          <w:szCs w:val="20"/>
        </w:rPr>
        <w:t xml:space="preserve"> </w:t>
      </w:r>
      <w:r w:rsidR="00C33145">
        <w:rPr>
          <w:rFonts w:ascii="Arial" w:hAnsi="Arial" w:cs="Arial"/>
          <w:sz w:val="20"/>
          <w:szCs w:val="20"/>
        </w:rPr>
        <w:t>αντίστοιχα</w:t>
      </w:r>
      <w:r>
        <w:rPr>
          <w:rFonts w:ascii="Arial" w:hAnsi="Arial" w:cs="Arial"/>
          <w:sz w:val="20"/>
          <w:szCs w:val="20"/>
        </w:rPr>
        <w:t>, με τις συνολικές πωλήσεις να ξεπερνούν τα 4 εκατ. τ</w:t>
      </w:r>
      <w:r w:rsidR="00DD3257">
        <w:rPr>
          <w:rFonts w:ascii="Arial" w:hAnsi="Arial" w:cs="Arial"/>
          <w:sz w:val="20"/>
          <w:szCs w:val="20"/>
        </w:rPr>
        <w:t>όνους. Αύξηση σημε</w:t>
      </w:r>
      <w:r w:rsidR="00C33145">
        <w:rPr>
          <w:rFonts w:ascii="Arial" w:hAnsi="Arial" w:cs="Arial"/>
          <w:sz w:val="20"/>
          <w:szCs w:val="20"/>
        </w:rPr>
        <w:t>ιώθηκε σε όλ</w:t>
      </w:r>
      <w:r w:rsidR="00AC5465">
        <w:rPr>
          <w:rFonts w:ascii="Arial" w:hAnsi="Arial" w:cs="Arial"/>
          <w:sz w:val="20"/>
          <w:szCs w:val="20"/>
        </w:rPr>
        <w:t>ες</w:t>
      </w:r>
      <w:r w:rsidR="00DD3257">
        <w:rPr>
          <w:rFonts w:ascii="Arial" w:hAnsi="Arial" w:cs="Arial"/>
          <w:sz w:val="20"/>
          <w:szCs w:val="20"/>
        </w:rPr>
        <w:t xml:space="preserve"> τ</w:t>
      </w:r>
      <w:r w:rsidR="00AC5465">
        <w:rPr>
          <w:rFonts w:ascii="Arial" w:hAnsi="Arial" w:cs="Arial"/>
          <w:sz w:val="20"/>
          <w:szCs w:val="20"/>
        </w:rPr>
        <w:t>ις</w:t>
      </w:r>
      <w:r w:rsidR="00DD3257">
        <w:rPr>
          <w:rFonts w:ascii="Arial" w:hAnsi="Arial" w:cs="Arial"/>
          <w:sz w:val="20"/>
          <w:szCs w:val="20"/>
        </w:rPr>
        <w:t xml:space="preserve"> επ</w:t>
      </w:r>
      <w:r w:rsidR="00D241CA">
        <w:rPr>
          <w:rFonts w:ascii="Arial" w:hAnsi="Arial" w:cs="Arial"/>
          <w:sz w:val="20"/>
          <w:szCs w:val="20"/>
        </w:rPr>
        <w:t xml:space="preserve">ί </w:t>
      </w:r>
      <w:r w:rsidR="00DD3257">
        <w:rPr>
          <w:rFonts w:ascii="Arial" w:hAnsi="Arial" w:cs="Arial"/>
          <w:sz w:val="20"/>
          <w:szCs w:val="20"/>
        </w:rPr>
        <w:t xml:space="preserve">μέρους </w:t>
      </w:r>
      <w:r w:rsidR="00AC5465">
        <w:rPr>
          <w:rFonts w:ascii="Arial" w:hAnsi="Arial" w:cs="Arial"/>
          <w:sz w:val="20"/>
          <w:szCs w:val="20"/>
        </w:rPr>
        <w:t>αγορές</w:t>
      </w:r>
      <w:r w:rsidR="00C33145">
        <w:rPr>
          <w:rFonts w:ascii="Arial" w:hAnsi="Arial" w:cs="Arial"/>
          <w:sz w:val="20"/>
          <w:szCs w:val="20"/>
        </w:rPr>
        <w:t>,</w:t>
      </w:r>
      <w:r w:rsidR="00DD3257">
        <w:rPr>
          <w:rFonts w:ascii="Arial" w:hAnsi="Arial" w:cs="Arial"/>
          <w:sz w:val="20"/>
          <w:szCs w:val="20"/>
        </w:rPr>
        <w:t xml:space="preserve"> με τις εξαγωγές </w:t>
      </w:r>
      <w:r w:rsidR="009F37C7">
        <w:rPr>
          <w:rFonts w:ascii="Arial" w:hAnsi="Arial" w:cs="Arial"/>
          <w:sz w:val="20"/>
          <w:szCs w:val="20"/>
        </w:rPr>
        <w:t xml:space="preserve">να </w:t>
      </w:r>
      <w:r w:rsidR="00146F5E">
        <w:rPr>
          <w:rFonts w:ascii="Arial" w:hAnsi="Arial" w:cs="Arial"/>
          <w:sz w:val="20"/>
          <w:szCs w:val="20"/>
        </w:rPr>
        <w:t>αυξάνονται</w:t>
      </w:r>
      <w:r w:rsidR="009F37C7">
        <w:rPr>
          <w:rFonts w:ascii="Arial" w:hAnsi="Arial" w:cs="Arial"/>
          <w:sz w:val="20"/>
          <w:szCs w:val="20"/>
        </w:rPr>
        <w:t xml:space="preserve"> κατά 18%, στα 2,2 εκατ. τόνους και </w:t>
      </w:r>
      <w:r w:rsidR="00146F5E">
        <w:rPr>
          <w:rFonts w:ascii="Arial" w:hAnsi="Arial" w:cs="Arial"/>
          <w:sz w:val="20"/>
          <w:szCs w:val="20"/>
        </w:rPr>
        <w:t>τις</w:t>
      </w:r>
      <w:r w:rsidR="009F37C7">
        <w:rPr>
          <w:rFonts w:ascii="Arial" w:hAnsi="Arial" w:cs="Arial"/>
          <w:sz w:val="20"/>
          <w:szCs w:val="20"/>
        </w:rPr>
        <w:t xml:space="preserve"> πωλήσεις εσωτερικής αγοράς </w:t>
      </w:r>
      <w:r w:rsidR="00146F5E">
        <w:rPr>
          <w:rFonts w:ascii="Arial" w:hAnsi="Arial" w:cs="Arial"/>
          <w:sz w:val="20"/>
          <w:szCs w:val="20"/>
        </w:rPr>
        <w:t>κατά</w:t>
      </w:r>
      <w:r w:rsidR="009F37C7">
        <w:rPr>
          <w:rFonts w:ascii="Arial" w:hAnsi="Arial" w:cs="Arial"/>
          <w:sz w:val="20"/>
          <w:szCs w:val="20"/>
        </w:rPr>
        <w:t xml:space="preserve"> 13% στα 1,3 εκατ. τόνους, </w:t>
      </w:r>
      <w:r w:rsidR="009F37C7" w:rsidRPr="00DA7CF6">
        <w:rPr>
          <w:rFonts w:ascii="Arial" w:hAnsi="Arial" w:cs="Arial"/>
          <w:b/>
          <w:sz w:val="20"/>
          <w:szCs w:val="20"/>
        </w:rPr>
        <w:t>λόγω</w:t>
      </w:r>
      <w:r w:rsidR="00217B57" w:rsidRPr="00217B57">
        <w:rPr>
          <w:rFonts w:ascii="Arial" w:hAnsi="Arial" w:cs="Arial"/>
          <w:b/>
          <w:sz w:val="20"/>
          <w:szCs w:val="20"/>
        </w:rPr>
        <w:t xml:space="preserve"> </w:t>
      </w:r>
      <w:r w:rsidR="00217B57">
        <w:rPr>
          <w:rFonts w:ascii="Arial" w:hAnsi="Arial" w:cs="Arial"/>
          <w:b/>
          <w:sz w:val="20"/>
          <w:szCs w:val="20"/>
        </w:rPr>
        <w:t xml:space="preserve">αύξησης </w:t>
      </w:r>
      <w:r w:rsidR="00217B57" w:rsidRPr="00DA7CF6">
        <w:rPr>
          <w:rFonts w:ascii="Arial" w:hAnsi="Arial" w:cs="Arial"/>
          <w:b/>
          <w:sz w:val="20"/>
          <w:szCs w:val="20"/>
        </w:rPr>
        <w:t>μεριδίων αγοράς</w:t>
      </w:r>
      <w:r w:rsidR="00217B57">
        <w:rPr>
          <w:rFonts w:ascii="Arial" w:hAnsi="Arial" w:cs="Arial"/>
          <w:b/>
          <w:sz w:val="20"/>
          <w:szCs w:val="20"/>
        </w:rPr>
        <w:t xml:space="preserve"> </w:t>
      </w:r>
      <w:r w:rsidR="00217B57" w:rsidRPr="00217B57">
        <w:rPr>
          <w:rFonts w:ascii="Arial" w:hAnsi="Arial" w:cs="Arial"/>
          <w:sz w:val="20"/>
          <w:szCs w:val="20"/>
        </w:rPr>
        <w:t>και ζήτησης</w:t>
      </w:r>
      <w:r w:rsidR="00217B57">
        <w:rPr>
          <w:rFonts w:ascii="Arial" w:hAnsi="Arial" w:cs="Arial"/>
          <w:sz w:val="20"/>
          <w:szCs w:val="20"/>
        </w:rPr>
        <w:t xml:space="preserve"> για</w:t>
      </w:r>
      <w:r w:rsidR="00217B57" w:rsidRPr="00217B57">
        <w:rPr>
          <w:rFonts w:ascii="Arial" w:hAnsi="Arial" w:cs="Arial"/>
          <w:sz w:val="20"/>
          <w:szCs w:val="20"/>
        </w:rPr>
        <w:t xml:space="preserve"> πετρ</w:t>
      </w:r>
      <w:r w:rsidR="00217B57">
        <w:rPr>
          <w:rFonts w:ascii="Arial" w:hAnsi="Arial" w:cs="Arial"/>
          <w:sz w:val="20"/>
          <w:szCs w:val="20"/>
        </w:rPr>
        <w:t>έ</w:t>
      </w:r>
      <w:r w:rsidR="00217B57" w:rsidRPr="00217B57">
        <w:rPr>
          <w:rFonts w:ascii="Arial" w:hAnsi="Arial" w:cs="Arial"/>
          <w:sz w:val="20"/>
          <w:szCs w:val="20"/>
        </w:rPr>
        <w:t>λα</w:t>
      </w:r>
      <w:r w:rsidR="00217B57">
        <w:rPr>
          <w:rFonts w:ascii="Arial" w:hAnsi="Arial" w:cs="Arial"/>
          <w:sz w:val="20"/>
          <w:szCs w:val="20"/>
        </w:rPr>
        <w:t>ι</w:t>
      </w:r>
      <w:r w:rsidR="00217B57" w:rsidRPr="00217B57">
        <w:rPr>
          <w:rFonts w:ascii="Arial" w:hAnsi="Arial" w:cs="Arial"/>
          <w:sz w:val="20"/>
          <w:szCs w:val="20"/>
        </w:rPr>
        <w:t>ο θέρμανσης</w:t>
      </w:r>
      <w:r w:rsidR="009F37C7">
        <w:rPr>
          <w:rFonts w:ascii="Arial" w:hAnsi="Arial" w:cs="Arial"/>
          <w:sz w:val="20"/>
          <w:szCs w:val="20"/>
        </w:rPr>
        <w:t xml:space="preserve">. </w:t>
      </w:r>
      <w:r w:rsidR="00C7322D">
        <w:rPr>
          <w:rFonts w:ascii="Arial" w:hAnsi="Arial" w:cs="Arial"/>
          <w:sz w:val="20"/>
          <w:szCs w:val="20"/>
        </w:rPr>
        <w:t xml:space="preserve"> </w:t>
      </w:r>
      <w:r w:rsidR="009F37C7" w:rsidRPr="006A3DB2">
        <w:rPr>
          <w:rFonts w:ascii="Arial" w:hAnsi="Arial" w:cs="Arial"/>
          <w:sz w:val="20"/>
          <w:szCs w:val="20"/>
        </w:rPr>
        <w:t xml:space="preserve">Η </w:t>
      </w:r>
      <w:r w:rsidR="009D5512" w:rsidRPr="006A3DB2">
        <w:rPr>
          <w:rFonts w:ascii="Arial" w:hAnsi="Arial" w:cs="Arial"/>
          <w:sz w:val="20"/>
          <w:szCs w:val="20"/>
        </w:rPr>
        <w:t xml:space="preserve">λειτουργία των διυλιστηρίων με </w:t>
      </w:r>
      <w:r w:rsidR="00782026" w:rsidRPr="006A3DB2">
        <w:rPr>
          <w:rFonts w:ascii="Arial" w:hAnsi="Arial" w:cs="Arial"/>
          <w:sz w:val="20"/>
          <w:szCs w:val="20"/>
        </w:rPr>
        <w:t>αριστοποιημένη</w:t>
      </w:r>
      <w:r w:rsidR="009D5512" w:rsidRPr="006A3DB2">
        <w:rPr>
          <w:rFonts w:ascii="Arial" w:hAnsi="Arial" w:cs="Arial"/>
          <w:sz w:val="20"/>
          <w:szCs w:val="20"/>
        </w:rPr>
        <w:t xml:space="preserve"> ποιότητα αργών, ενίσχυσε ουσιαστικά </w:t>
      </w:r>
      <w:r w:rsidR="00C33145" w:rsidRPr="006A3DB2">
        <w:rPr>
          <w:rFonts w:ascii="Arial" w:hAnsi="Arial" w:cs="Arial"/>
          <w:sz w:val="20"/>
          <w:szCs w:val="20"/>
        </w:rPr>
        <w:t>τ</w:t>
      </w:r>
      <w:r w:rsidR="009F37C7" w:rsidRPr="006A3DB2">
        <w:rPr>
          <w:rFonts w:ascii="Arial" w:hAnsi="Arial" w:cs="Arial"/>
          <w:sz w:val="20"/>
          <w:szCs w:val="20"/>
        </w:rPr>
        <w:t>α οικονομικά αποτελέσματα.</w:t>
      </w:r>
      <w:r w:rsidR="009166D7" w:rsidRPr="006A3DB2">
        <w:rPr>
          <w:rFonts w:ascii="Arial" w:hAnsi="Arial" w:cs="Arial"/>
          <w:sz w:val="20"/>
          <w:szCs w:val="20"/>
        </w:rPr>
        <w:t xml:space="preserve"> </w:t>
      </w:r>
      <w:r w:rsidR="009F37C7" w:rsidRPr="00DA7CF6">
        <w:rPr>
          <w:rFonts w:ascii="Arial" w:hAnsi="Arial" w:cs="Arial"/>
          <w:b/>
          <w:sz w:val="20"/>
          <w:szCs w:val="20"/>
        </w:rPr>
        <w:t>Τα παραπάνω οδήγησαν σε</w:t>
      </w:r>
      <w:r w:rsidRPr="00DA7CF6">
        <w:rPr>
          <w:rFonts w:ascii="Arial" w:hAnsi="Arial" w:cs="Arial"/>
          <w:b/>
          <w:sz w:val="20"/>
          <w:szCs w:val="20"/>
        </w:rPr>
        <w:t xml:space="preserve"> αυξημένη </w:t>
      </w:r>
      <w:proofErr w:type="spellStart"/>
      <w:r w:rsidRPr="00DA7CF6">
        <w:rPr>
          <w:rFonts w:ascii="Arial" w:hAnsi="Arial" w:cs="Arial"/>
          <w:b/>
          <w:sz w:val="20"/>
          <w:szCs w:val="20"/>
        </w:rPr>
        <w:t>υπερ</w:t>
      </w:r>
      <w:proofErr w:type="spellEnd"/>
      <w:r w:rsidR="00D241CA" w:rsidRPr="00DA7CF6">
        <w:rPr>
          <w:rFonts w:ascii="Arial" w:hAnsi="Arial" w:cs="Arial"/>
          <w:b/>
          <w:sz w:val="20"/>
          <w:szCs w:val="20"/>
        </w:rPr>
        <w:t>-</w:t>
      </w:r>
      <w:r w:rsidRPr="00DA7CF6">
        <w:rPr>
          <w:rFonts w:ascii="Arial" w:hAnsi="Arial" w:cs="Arial"/>
          <w:b/>
          <w:sz w:val="20"/>
          <w:szCs w:val="20"/>
        </w:rPr>
        <w:t>απόδοση</w:t>
      </w:r>
      <w:r>
        <w:rPr>
          <w:rFonts w:ascii="Arial" w:hAnsi="Arial" w:cs="Arial"/>
          <w:sz w:val="20"/>
          <w:szCs w:val="20"/>
        </w:rPr>
        <w:t xml:space="preserve"> έναντι </w:t>
      </w:r>
      <w:r w:rsidR="00D241CA">
        <w:rPr>
          <w:rFonts w:ascii="Arial" w:hAnsi="Arial" w:cs="Arial"/>
          <w:sz w:val="20"/>
          <w:szCs w:val="20"/>
        </w:rPr>
        <w:t xml:space="preserve">των </w:t>
      </w:r>
      <w:r w:rsidR="00115922">
        <w:rPr>
          <w:rFonts w:ascii="Arial" w:hAnsi="Arial" w:cs="Arial"/>
          <w:sz w:val="20"/>
          <w:szCs w:val="20"/>
        </w:rPr>
        <w:t>ενδεικτικ</w:t>
      </w:r>
      <w:r>
        <w:rPr>
          <w:rFonts w:ascii="Arial" w:hAnsi="Arial" w:cs="Arial"/>
          <w:sz w:val="20"/>
          <w:szCs w:val="20"/>
        </w:rPr>
        <w:t>ών</w:t>
      </w:r>
      <w:r w:rsidR="00115922">
        <w:rPr>
          <w:rFonts w:ascii="Arial" w:hAnsi="Arial" w:cs="Arial"/>
          <w:sz w:val="20"/>
          <w:szCs w:val="20"/>
        </w:rPr>
        <w:t xml:space="preserve"> </w:t>
      </w:r>
      <w:r w:rsidR="008F2365">
        <w:rPr>
          <w:rFonts w:ascii="Arial" w:hAnsi="Arial" w:cs="Arial"/>
          <w:sz w:val="20"/>
          <w:szCs w:val="20"/>
        </w:rPr>
        <w:t>περιθ</w:t>
      </w:r>
      <w:r>
        <w:rPr>
          <w:rFonts w:ascii="Arial" w:hAnsi="Arial" w:cs="Arial"/>
          <w:sz w:val="20"/>
          <w:szCs w:val="20"/>
        </w:rPr>
        <w:t>ω</w:t>
      </w:r>
      <w:r w:rsidR="008F2365">
        <w:rPr>
          <w:rFonts w:ascii="Arial" w:hAnsi="Arial" w:cs="Arial"/>
          <w:sz w:val="20"/>
          <w:szCs w:val="20"/>
        </w:rPr>
        <w:t>ρ</w:t>
      </w:r>
      <w:r>
        <w:rPr>
          <w:rFonts w:ascii="Arial" w:hAnsi="Arial" w:cs="Arial"/>
          <w:sz w:val="20"/>
          <w:szCs w:val="20"/>
        </w:rPr>
        <w:t>ίων, σε σχέση με τα προηγούμενα τρίμηνα</w:t>
      </w:r>
      <w:r w:rsidR="008F2365">
        <w:rPr>
          <w:rFonts w:ascii="Arial" w:hAnsi="Arial" w:cs="Arial"/>
          <w:sz w:val="20"/>
          <w:szCs w:val="20"/>
        </w:rPr>
        <w:t xml:space="preserve">. </w:t>
      </w:r>
    </w:p>
    <w:p w:rsidR="00115922" w:rsidRDefault="008F2365" w:rsidP="0079627C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Τα Πετροχημικά σημείωσαν </w:t>
      </w:r>
      <w:r w:rsidR="00BB52B5">
        <w:rPr>
          <w:rFonts w:ascii="Arial" w:hAnsi="Arial" w:cs="Arial"/>
          <w:sz w:val="20"/>
          <w:szCs w:val="20"/>
        </w:rPr>
        <w:t xml:space="preserve">την υψηλότερη τριμηνιαία λειτουργική κερδοφορία, παρά τη μικρή υποχώρηση των διεθνών περιθωρίων, ενώ και η </w:t>
      </w:r>
      <w:r w:rsidR="00AF2CBB">
        <w:rPr>
          <w:rFonts w:ascii="Arial" w:hAnsi="Arial" w:cs="Arial"/>
          <w:sz w:val="20"/>
          <w:szCs w:val="20"/>
        </w:rPr>
        <w:t>Εμπορία</w:t>
      </w:r>
      <w:r w:rsidR="00BB52B5">
        <w:rPr>
          <w:rFonts w:ascii="Arial" w:hAnsi="Arial" w:cs="Arial"/>
          <w:sz w:val="20"/>
          <w:szCs w:val="20"/>
        </w:rPr>
        <w:t xml:space="preserve"> κατέγραψε αύξηση όγκων πωλήσεων και συνεισφοράς στον Όμιλο.</w:t>
      </w:r>
      <w:r w:rsidR="00AF2CBB">
        <w:rPr>
          <w:rFonts w:ascii="Arial" w:hAnsi="Arial" w:cs="Arial"/>
          <w:sz w:val="20"/>
          <w:szCs w:val="20"/>
        </w:rPr>
        <w:t xml:space="preserve"> </w:t>
      </w:r>
    </w:p>
    <w:p w:rsidR="008F2365" w:rsidRPr="008F2365" w:rsidRDefault="00946438" w:rsidP="0079627C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</w:t>
      </w:r>
      <w:r w:rsidR="00AF2CBB">
        <w:rPr>
          <w:rFonts w:ascii="Arial" w:hAnsi="Arial" w:cs="Arial"/>
          <w:sz w:val="20"/>
          <w:szCs w:val="20"/>
        </w:rPr>
        <w:t xml:space="preserve">α </w:t>
      </w:r>
      <w:r w:rsidR="00AF2CBB" w:rsidRPr="00AF2CBB">
        <w:rPr>
          <w:rFonts w:ascii="Arial" w:hAnsi="Arial" w:cs="Arial"/>
          <w:b/>
          <w:sz w:val="20"/>
          <w:szCs w:val="20"/>
        </w:rPr>
        <w:t>Καθαρά Κέρδη στ</w:t>
      </w:r>
      <w:r w:rsidR="00115922">
        <w:rPr>
          <w:rFonts w:ascii="Arial" w:hAnsi="Arial" w:cs="Arial"/>
          <w:b/>
          <w:sz w:val="20"/>
          <w:szCs w:val="20"/>
        </w:rPr>
        <w:t>ο</w:t>
      </w:r>
      <w:r w:rsidR="00AF2CBB" w:rsidRPr="00AF2CB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Α</w:t>
      </w:r>
      <w:r w:rsidR="00AF2CBB" w:rsidRPr="00AF2CBB">
        <w:rPr>
          <w:rFonts w:ascii="Arial" w:hAnsi="Arial" w:cs="Arial"/>
          <w:b/>
          <w:sz w:val="20"/>
          <w:szCs w:val="20"/>
        </w:rPr>
        <w:t>’ Τρίμηνο</w:t>
      </w:r>
      <w:r>
        <w:rPr>
          <w:rFonts w:ascii="Arial" w:hAnsi="Arial" w:cs="Arial"/>
          <w:b/>
          <w:sz w:val="20"/>
          <w:szCs w:val="20"/>
        </w:rPr>
        <w:t xml:space="preserve"> διαμορφώθηκαν</w:t>
      </w:r>
      <w:r w:rsidR="00AF2CBB" w:rsidRPr="00AF2CBB">
        <w:rPr>
          <w:rFonts w:ascii="Arial" w:hAnsi="Arial" w:cs="Arial"/>
          <w:b/>
          <w:sz w:val="20"/>
          <w:szCs w:val="20"/>
        </w:rPr>
        <w:t xml:space="preserve"> στα €</w:t>
      </w:r>
      <w:r>
        <w:rPr>
          <w:rFonts w:ascii="Arial" w:hAnsi="Arial" w:cs="Arial"/>
          <w:b/>
          <w:sz w:val="20"/>
          <w:szCs w:val="20"/>
        </w:rPr>
        <w:t>12</w:t>
      </w:r>
      <w:r w:rsidR="00146F5E">
        <w:rPr>
          <w:rFonts w:ascii="Arial" w:hAnsi="Arial" w:cs="Arial"/>
          <w:b/>
          <w:sz w:val="20"/>
          <w:szCs w:val="20"/>
        </w:rPr>
        <w:t>4</w:t>
      </w:r>
      <w:r w:rsidR="00AF2CBB" w:rsidRPr="00AF2CBB">
        <w:rPr>
          <w:rFonts w:ascii="Arial" w:hAnsi="Arial" w:cs="Arial"/>
          <w:b/>
          <w:sz w:val="20"/>
          <w:szCs w:val="20"/>
        </w:rPr>
        <w:t xml:space="preserve"> εκατ.,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6438">
        <w:rPr>
          <w:rFonts w:ascii="Arial" w:hAnsi="Arial" w:cs="Arial"/>
          <w:sz w:val="20"/>
          <w:szCs w:val="20"/>
        </w:rPr>
        <w:t>έναντι €32 εκατ. το Α’ Τρίμηνο 2016,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7F24" w:rsidRPr="00327F24">
        <w:rPr>
          <w:rFonts w:ascii="Arial" w:hAnsi="Arial" w:cs="Arial"/>
          <w:sz w:val="20"/>
          <w:szCs w:val="20"/>
        </w:rPr>
        <w:t xml:space="preserve">αυξημένα κατά </w:t>
      </w:r>
      <w:r w:rsidR="00734B6E" w:rsidRPr="00734B6E">
        <w:rPr>
          <w:rFonts w:ascii="Arial" w:hAnsi="Arial" w:cs="Arial"/>
          <w:sz w:val="20"/>
          <w:szCs w:val="20"/>
        </w:rPr>
        <w:t>2</w:t>
      </w:r>
      <w:r w:rsidR="00327F24" w:rsidRPr="00327F24">
        <w:rPr>
          <w:rFonts w:ascii="Arial" w:hAnsi="Arial" w:cs="Arial"/>
          <w:sz w:val="20"/>
          <w:szCs w:val="20"/>
        </w:rPr>
        <w:t>87,5%,</w:t>
      </w:r>
      <w:r w:rsidR="00327F24">
        <w:rPr>
          <w:rFonts w:ascii="Arial" w:hAnsi="Arial" w:cs="Arial"/>
          <w:b/>
          <w:sz w:val="20"/>
          <w:szCs w:val="20"/>
        </w:rPr>
        <w:t xml:space="preserve"> </w:t>
      </w:r>
      <w:r w:rsidRPr="00946438">
        <w:rPr>
          <w:rFonts w:ascii="Arial" w:hAnsi="Arial" w:cs="Arial"/>
          <w:sz w:val="20"/>
          <w:szCs w:val="20"/>
        </w:rPr>
        <w:t>καθώς η μειωμένη διακύμανση των διεθνών τιμών αργού</w:t>
      </w:r>
      <w:r>
        <w:rPr>
          <w:rFonts w:ascii="Arial" w:hAnsi="Arial" w:cs="Arial"/>
          <w:sz w:val="20"/>
          <w:szCs w:val="20"/>
        </w:rPr>
        <w:t xml:space="preserve"> τους πρώτους μήνες του 2017</w:t>
      </w:r>
      <w:r w:rsidR="00146F5E">
        <w:rPr>
          <w:rFonts w:ascii="Arial" w:hAnsi="Arial" w:cs="Arial"/>
          <w:sz w:val="20"/>
          <w:szCs w:val="20"/>
        </w:rPr>
        <w:t>,</w:t>
      </w:r>
      <w:r w:rsidRPr="00946438">
        <w:rPr>
          <w:rFonts w:ascii="Arial" w:hAnsi="Arial" w:cs="Arial"/>
          <w:sz w:val="20"/>
          <w:szCs w:val="20"/>
        </w:rPr>
        <w:t xml:space="preserve"> </w:t>
      </w:r>
      <w:r w:rsidR="00C33145">
        <w:rPr>
          <w:rFonts w:ascii="Arial" w:hAnsi="Arial" w:cs="Arial"/>
          <w:sz w:val="20"/>
          <w:szCs w:val="20"/>
        </w:rPr>
        <w:t>είχε περιορισμένη επίδραση σ</w:t>
      </w:r>
      <w:r w:rsidRPr="00946438">
        <w:rPr>
          <w:rFonts w:ascii="Arial" w:hAnsi="Arial" w:cs="Arial"/>
          <w:sz w:val="20"/>
          <w:szCs w:val="20"/>
        </w:rPr>
        <w:t>την αποτίμηση αποθεμάτων</w:t>
      </w:r>
      <w:r w:rsidR="00776091">
        <w:rPr>
          <w:rFonts w:ascii="Arial" w:hAnsi="Arial" w:cs="Arial"/>
          <w:sz w:val="20"/>
          <w:szCs w:val="20"/>
        </w:rPr>
        <w:t xml:space="preserve">. </w:t>
      </w:r>
    </w:p>
    <w:p w:rsidR="00C45C9E" w:rsidRDefault="00C45C9E" w:rsidP="00C45C9E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C9E" w:rsidRPr="009F2A44" w:rsidRDefault="00946438" w:rsidP="00C45C9E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Άνοδος</w:t>
      </w:r>
      <w:r w:rsidR="00C45C9E" w:rsidRPr="009F2A44">
        <w:rPr>
          <w:rFonts w:ascii="Arial" w:hAnsi="Arial" w:cs="Arial"/>
          <w:b/>
          <w:sz w:val="20"/>
          <w:szCs w:val="20"/>
        </w:rPr>
        <w:t xml:space="preserve"> διεθνών τιμών</w:t>
      </w:r>
      <w:r w:rsidR="00C45C9E">
        <w:rPr>
          <w:rFonts w:ascii="Arial" w:hAnsi="Arial" w:cs="Arial"/>
          <w:b/>
          <w:sz w:val="20"/>
          <w:szCs w:val="20"/>
        </w:rPr>
        <w:t xml:space="preserve"> αργού, </w:t>
      </w:r>
      <w:r>
        <w:rPr>
          <w:rFonts w:ascii="Arial" w:hAnsi="Arial" w:cs="Arial"/>
          <w:b/>
          <w:sz w:val="20"/>
          <w:szCs w:val="20"/>
        </w:rPr>
        <w:t>ισχυροποίηση δολαρίου</w:t>
      </w:r>
    </w:p>
    <w:p w:rsidR="00C45C9E" w:rsidRDefault="00946438" w:rsidP="00C45C9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εφαρμογή της απόφασης των χωρών-μελών του ΟΠΕΚ για έλεγχο</w:t>
      </w:r>
      <w:r w:rsidR="00DB5F90">
        <w:rPr>
          <w:rFonts w:ascii="Arial" w:hAnsi="Arial" w:cs="Arial"/>
          <w:sz w:val="20"/>
          <w:szCs w:val="20"/>
        </w:rPr>
        <w:t xml:space="preserve"> της παραγωγής αργού οδήγησε τις τιμές </w:t>
      </w:r>
      <w:r w:rsidR="00146F5E">
        <w:rPr>
          <w:rFonts w:ascii="Arial" w:hAnsi="Arial" w:cs="Arial"/>
          <w:sz w:val="20"/>
          <w:szCs w:val="20"/>
        </w:rPr>
        <w:t>υψηλότερα</w:t>
      </w:r>
      <w:r w:rsidR="00C7322D">
        <w:rPr>
          <w:rFonts w:ascii="Arial" w:hAnsi="Arial" w:cs="Arial"/>
          <w:sz w:val="20"/>
          <w:szCs w:val="20"/>
        </w:rPr>
        <w:t xml:space="preserve"> </w:t>
      </w:r>
      <w:r w:rsidR="00DB5F90">
        <w:rPr>
          <w:rFonts w:ascii="Arial" w:hAnsi="Arial" w:cs="Arial"/>
          <w:sz w:val="20"/>
          <w:szCs w:val="20"/>
        </w:rPr>
        <w:t xml:space="preserve">στο μεγαλύτερο μέρος του Α’ τριμήνου, </w:t>
      </w:r>
      <w:r w:rsidR="00C7322D">
        <w:rPr>
          <w:rFonts w:ascii="Arial" w:hAnsi="Arial" w:cs="Arial"/>
          <w:sz w:val="20"/>
          <w:szCs w:val="20"/>
        </w:rPr>
        <w:t xml:space="preserve">με μέσο όρο τριμήνου </w:t>
      </w:r>
      <w:r w:rsidR="00DB5F90">
        <w:rPr>
          <w:rFonts w:ascii="Arial" w:hAnsi="Arial" w:cs="Arial"/>
          <w:sz w:val="20"/>
          <w:szCs w:val="20"/>
        </w:rPr>
        <w:t>55</w:t>
      </w:r>
      <w:r w:rsidR="00DC3696">
        <w:rPr>
          <w:rFonts w:ascii="Arial" w:hAnsi="Arial" w:cs="Arial"/>
          <w:sz w:val="20"/>
          <w:szCs w:val="20"/>
        </w:rPr>
        <w:t xml:space="preserve"> $</w:t>
      </w:r>
      <w:r w:rsidR="00DB5F90">
        <w:rPr>
          <w:rFonts w:ascii="Arial" w:hAnsi="Arial" w:cs="Arial"/>
          <w:sz w:val="20"/>
          <w:szCs w:val="20"/>
        </w:rPr>
        <w:t>/</w:t>
      </w:r>
      <w:proofErr w:type="spellStart"/>
      <w:r w:rsidR="00DB5F90" w:rsidRPr="009F2A44">
        <w:rPr>
          <w:rFonts w:ascii="Arial" w:hAnsi="Arial" w:cs="Arial"/>
          <w:sz w:val="20"/>
          <w:szCs w:val="20"/>
          <w:lang w:val="en-GB"/>
        </w:rPr>
        <w:t>bbl</w:t>
      </w:r>
      <w:proofErr w:type="spellEnd"/>
      <w:r w:rsidR="00DB5F90">
        <w:rPr>
          <w:rFonts w:ascii="Arial" w:hAnsi="Arial" w:cs="Arial"/>
          <w:sz w:val="20"/>
          <w:szCs w:val="20"/>
        </w:rPr>
        <w:t xml:space="preserve">, σημαντικά </w:t>
      </w:r>
      <w:r w:rsidR="00C7322D">
        <w:rPr>
          <w:rFonts w:ascii="Arial" w:hAnsi="Arial" w:cs="Arial"/>
          <w:sz w:val="20"/>
          <w:szCs w:val="20"/>
        </w:rPr>
        <w:t xml:space="preserve">αυξημένο </w:t>
      </w:r>
      <w:r w:rsidR="00DB5F90">
        <w:rPr>
          <w:rFonts w:ascii="Arial" w:hAnsi="Arial" w:cs="Arial"/>
          <w:sz w:val="20"/>
          <w:szCs w:val="20"/>
        </w:rPr>
        <w:t>σε σχέση με την αντίστοιχη περσ</w:t>
      </w:r>
      <w:r w:rsidR="00C33145">
        <w:rPr>
          <w:rFonts w:ascii="Arial" w:hAnsi="Arial" w:cs="Arial"/>
          <w:sz w:val="20"/>
          <w:szCs w:val="20"/>
        </w:rPr>
        <w:t>ι</w:t>
      </w:r>
      <w:r w:rsidR="00DB5F90">
        <w:rPr>
          <w:rFonts w:ascii="Arial" w:hAnsi="Arial" w:cs="Arial"/>
          <w:sz w:val="20"/>
          <w:szCs w:val="20"/>
        </w:rPr>
        <w:t xml:space="preserve">νή περίοδο </w:t>
      </w:r>
      <w:r w:rsidR="00C7322D">
        <w:rPr>
          <w:rFonts w:ascii="Arial" w:hAnsi="Arial" w:cs="Arial"/>
          <w:sz w:val="20"/>
          <w:szCs w:val="20"/>
        </w:rPr>
        <w:t>(</w:t>
      </w:r>
      <w:r w:rsidR="00DB5F90">
        <w:rPr>
          <w:rFonts w:ascii="Arial" w:hAnsi="Arial" w:cs="Arial"/>
          <w:sz w:val="20"/>
          <w:szCs w:val="20"/>
        </w:rPr>
        <w:t>35</w:t>
      </w:r>
      <w:r w:rsidR="00DC3696">
        <w:rPr>
          <w:rFonts w:ascii="Arial" w:hAnsi="Arial" w:cs="Arial"/>
          <w:sz w:val="20"/>
          <w:szCs w:val="20"/>
        </w:rPr>
        <w:t xml:space="preserve"> $</w:t>
      </w:r>
      <w:r w:rsidR="00DB5F90">
        <w:rPr>
          <w:rFonts w:ascii="Arial" w:hAnsi="Arial" w:cs="Arial"/>
          <w:sz w:val="20"/>
          <w:szCs w:val="20"/>
        </w:rPr>
        <w:t>/</w:t>
      </w:r>
      <w:proofErr w:type="spellStart"/>
      <w:r w:rsidR="00DB5F90" w:rsidRPr="009F2A44">
        <w:rPr>
          <w:rFonts w:ascii="Arial" w:hAnsi="Arial" w:cs="Arial"/>
          <w:sz w:val="20"/>
          <w:szCs w:val="20"/>
          <w:lang w:val="en-GB"/>
        </w:rPr>
        <w:t>bbl</w:t>
      </w:r>
      <w:proofErr w:type="spellEnd"/>
      <w:r w:rsidR="00C7322D">
        <w:rPr>
          <w:rFonts w:ascii="Arial" w:hAnsi="Arial" w:cs="Arial"/>
          <w:sz w:val="20"/>
          <w:szCs w:val="20"/>
        </w:rPr>
        <w:t>).</w:t>
      </w:r>
      <w:r w:rsidR="00C45C9E">
        <w:rPr>
          <w:rFonts w:ascii="Arial" w:hAnsi="Arial" w:cs="Arial"/>
          <w:sz w:val="20"/>
          <w:szCs w:val="20"/>
        </w:rPr>
        <w:t xml:space="preserve"> </w:t>
      </w:r>
    </w:p>
    <w:p w:rsidR="00DB5F90" w:rsidRPr="009F2A44" w:rsidRDefault="00DB5F90" w:rsidP="00C45C9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Οι μακροοικονομικές εξελίξεις και η νομισματική πολιτική σε Ευρωζώνη και ΗΠΑ </w:t>
      </w:r>
      <w:r w:rsidR="00146F5E">
        <w:rPr>
          <w:rFonts w:ascii="Arial" w:hAnsi="Arial" w:cs="Arial"/>
          <w:sz w:val="20"/>
          <w:szCs w:val="20"/>
        </w:rPr>
        <w:t>είχαν ως αποτέλεσμα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την περαιτέρω ενίσχυση του δολαρίου, με το ευρώ να </w:t>
      </w:r>
      <w:r w:rsidR="009B798E">
        <w:rPr>
          <w:rFonts w:ascii="Arial" w:hAnsi="Arial" w:cs="Arial"/>
          <w:sz w:val="20"/>
          <w:szCs w:val="20"/>
        </w:rPr>
        <w:t>κυμαίνεται</w:t>
      </w:r>
      <w:r>
        <w:rPr>
          <w:rFonts w:ascii="Arial" w:hAnsi="Arial" w:cs="Arial"/>
          <w:sz w:val="20"/>
          <w:szCs w:val="20"/>
        </w:rPr>
        <w:t xml:space="preserve"> στα 1,06 δολάρια</w:t>
      </w:r>
      <w:r w:rsidR="009B798E">
        <w:rPr>
          <w:rFonts w:ascii="Arial" w:hAnsi="Arial" w:cs="Arial"/>
          <w:sz w:val="20"/>
          <w:szCs w:val="20"/>
        </w:rPr>
        <w:t xml:space="preserve"> κατά μέσο όρο</w:t>
      </w:r>
      <w:r w:rsidR="0028194B">
        <w:rPr>
          <w:rFonts w:ascii="Arial" w:hAnsi="Arial" w:cs="Arial"/>
          <w:sz w:val="20"/>
          <w:szCs w:val="20"/>
        </w:rPr>
        <w:t>, το χαμηλότερο επίπεδο της τελευταίας δεκαπενταετίας.</w:t>
      </w:r>
    </w:p>
    <w:p w:rsidR="00C45C9E" w:rsidRDefault="0028194B" w:rsidP="00C45C9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Η σημαντική ενίσχυση των περιθωρίων μαζούτ ήταν ο βασικός παράγοντας διαμόρφωσης των διεθνών περιθωρίων στη Μεσόγειο, ενώ αύξηση κατέγραψ</w:t>
      </w:r>
      <w:r w:rsidR="00B8393F">
        <w:rPr>
          <w:rFonts w:ascii="Arial" w:hAnsi="Arial" w:cs="Arial"/>
          <w:sz w:val="20"/>
          <w:szCs w:val="20"/>
        </w:rPr>
        <w:t>αν</w:t>
      </w:r>
      <w:r>
        <w:rPr>
          <w:rFonts w:ascii="Arial" w:hAnsi="Arial" w:cs="Arial"/>
          <w:sz w:val="20"/>
          <w:szCs w:val="20"/>
        </w:rPr>
        <w:t xml:space="preserve"> και τ</w:t>
      </w:r>
      <w:r w:rsidR="00B8393F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 xml:space="preserve"> περιθώρι</w:t>
      </w:r>
      <w:r w:rsidR="00B8393F">
        <w:rPr>
          <w:rFonts w:ascii="Arial" w:hAnsi="Arial" w:cs="Arial"/>
          <w:sz w:val="20"/>
          <w:szCs w:val="20"/>
        </w:rPr>
        <w:t>α μεσαίων κλασμάτων</w:t>
      </w:r>
      <w:r>
        <w:rPr>
          <w:rFonts w:ascii="Arial" w:hAnsi="Arial" w:cs="Arial"/>
          <w:sz w:val="20"/>
          <w:szCs w:val="20"/>
        </w:rPr>
        <w:t>, με</w:t>
      </w:r>
      <w:r w:rsidR="00C33145">
        <w:rPr>
          <w:rFonts w:ascii="Arial" w:hAnsi="Arial" w:cs="Arial"/>
          <w:sz w:val="20"/>
          <w:szCs w:val="20"/>
        </w:rPr>
        <w:t xml:space="preserve"> τα</w:t>
      </w:r>
      <w:r>
        <w:rPr>
          <w:rFonts w:ascii="Arial" w:hAnsi="Arial" w:cs="Arial"/>
          <w:sz w:val="20"/>
          <w:szCs w:val="20"/>
        </w:rPr>
        <w:t xml:space="preserve"> υπόλοιπα προϊόντα να καταγράφουν μικρές απώλειες. Τα </w:t>
      </w:r>
      <w:r w:rsidR="00776091">
        <w:rPr>
          <w:rFonts w:ascii="Arial" w:hAnsi="Arial" w:cs="Arial"/>
          <w:sz w:val="20"/>
          <w:szCs w:val="20"/>
        </w:rPr>
        <w:t xml:space="preserve">περιθώρια τύπου </w:t>
      </w:r>
      <w:r w:rsidR="00776091">
        <w:rPr>
          <w:rFonts w:ascii="Arial" w:hAnsi="Arial" w:cs="Arial"/>
          <w:sz w:val="20"/>
          <w:szCs w:val="20"/>
          <w:lang w:val="en-US"/>
        </w:rPr>
        <w:t>FCC</w:t>
      </w:r>
      <w:r w:rsidRPr="002819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διαμορφώθηκαν</w:t>
      </w:r>
      <w:r w:rsidR="00776091" w:rsidRPr="003315F0">
        <w:rPr>
          <w:rFonts w:ascii="Arial" w:hAnsi="Arial" w:cs="Arial"/>
          <w:sz w:val="20"/>
          <w:szCs w:val="20"/>
        </w:rPr>
        <w:t xml:space="preserve"> </w:t>
      </w:r>
      <w:r w:rsidR="00776091">
        <w:rPr>
          <w:rFonts w:ascii="Arial" w:hAnsi="Arial" w:cs="Arial"/>
          <w:sz w:val="20"/>
          <w:szCs w:val="20"/>
        </w:rPr>
        <w:t>σ</w:t>
      </w:r>
      <w:r w:rsidR="00DD399A">
        <w:rPr>
          <w:rFonts w:ascii="Arial" w:hAnsi="Arial" w:cs="Arial"/>
          <w:sz w:val="20"/>
          <w:szCs w:val="20"/>
        </w:rPr>
        <w:t>τα</w:t>
      </w:r>
      <w:r w:rsidR="007760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="007760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="00D241CA">
        <w:rPr>
          <w:rFonts w:ascii="Arial" w:hAnsi="Arial" w:cs="Arial"/>
          <w:sz w:val="20"/>
          <w:szCs w:val="20"/>
        </w:rPr>
        <w:t xml:space="preserve"> </w:t>
      </w:r>
      <w:r w:rsidR="00C7322D" w:rsidRPr="00CF6EAA">
        <w:rPr>
          <w:rFonts w:ascii="Arial" w:hAnsi="Arial" w:cs="Arial"/>
          <w:sz w:val="20"/>
          <w:szCs w:val="20"/>
        </w:rPr>
        <w:t>$</w:t>
      </w:r>
      <w:r w:rsidR="00776091">
        <w:rPr>
          <w:rFonts w:ascii="Arial" w:hAnsi="Arial" w:cs="Arial"/>
          <w:sz w:val="20"/>
          <w:szCs w:val="20"/>
        </w:rPr>
        <w:t>/</w:t>
      </w:r>
      <w:proofErr w:type="spellStart"/>
      <w:r w:rsidR="00776091">
        <w:rPr>
          <w:rFonts w:ascii="Arial" w:hAnsi="Arial" w:cs="Arial"/>
          <w:sz w:val="20"/>
          <w:szCs w:val="20"/>
          <w:lang w:val="en-US"/>
        </w:rPr>
        <w:t>bbl</w:t>
      </w:r>
      <w:proofErr w:type="spellEnd"/>
      <w:r w:rsidR="00776091" w:rsidRPr="003315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τα υψηλότερα επίπεδα από το 2015, ενώ</w:t>
      </w:r>
      <w:r w:rsidR="00776091">
        <w:rPr>
          <w:rFonts w:ascii="Arial" w:hAnsi="Arial" w:cs="Arial"/>
          <w:sz w:val="20"/>
          <w:szCs w:val="20"/>
        </w:rPr>
        <w:t xml:space="preserve"> τα περιθώρια </w:t>
      </w:r>
      <w:r w:rsidR="00776091">
        <w:rPr>
          <w:rFonts w:ascii="Arial" w:hAnsi="Arial" w:cs="Arial"/>
          <w:sz w:val="20"/>
          <w:szCs w:val="20"/>
          <w:lang w:val="en-US"/>
        </w:rPr>
        <w:t>Hydrocracking</w:t>
      </w:r>
      <w:r>
        <w:rPr>
          <w:rFonts w:ascii="Arial" w:hAnsi="Arial" w:cs="Arial"/>
          <w:sz w:val="20"/>
          <w:szCs w:val="20"/>
        </w:rPr>
        <w:t xml:space="preserve"> ανήλθαν</w:t>
      </w:r>
      <w:r w:rsidR="00776091" w:rsidRPr="003315F0">
        <w:rPr>
          <w:rFonts w:ascii="Arial" w:hAnsi="Arial" w:cs="Arial"/>
          <w:sz w:val="20"/>
          <w:szCs w:val="20"/>
        </w:rPr>
        <w:t xml:space="preserve"> </w:t>
      </w:r>
      <w:r w:rsidR="00776091">
        <w:rPr>
          <w:rFonts w:ascii="Arial" w:hAnsi="Arial" w:cs="Arial"/>
          <w:sz w:val="20"/>
          <w:szCs w:val="20"/>
        </w:rPr>
        <w:t xml:space="preserve">στα </w:t>
      </w:r>
      <w:r>
        <w:rPr>
          <w:rFonts w:ascii="Arial" w:hAnsi="Arial" w:cs="Arial"/>
          <w:sz w:val="20"/>
          <w:szCs w:val="20"/>
        </w:rPr>
        <w:t>5</w:t>
      </w:r>
      <w:r w:rsidR="007760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</w:t>
      </w:r>
      <w:r w:rsidR="00D241CA">
        <w:rPr>
          <w:rFonts w:ascii="Arial" w:hAnsi="Arial" w:cs="Arial"/>
          <w:sz w:val="20"/>
          <w:szCs w:val="20"/>
        </w:rPr>
        <w:t xml:space="preserve"> </w:t>
      </w:r>
      <w:r w:rsidR="00C7322D" w:rsidRPr="00CF6EAA">
        <w:rPr>
          <w:rFonts w:ascii="Arial" w:hAnsi="Arial" w:cs="Arial"/>
          <w:sz w:val="20"/>
          <w:szCs w:val="20"/>
        </w:rPr>
        <w:t>$</w:t>
      </w:r>
      <w:r w:rsidR="00776091">
        <w:rPr>
          <w:rFonts w:ascii="Arial" w:hAnsi="Arial" w:cs="Arial"/>
          <w:sz w:val="20"/>
          <w:szCs w:val="20"/>
        </w:rPr>
        <w:t>/</w:t>
      </w:r>
      <w:proofErr w:type="spellStart"/>
      <w:r w:rsidR="00776091">
        <w:rPr>
          <w:rFonts w:ascii="Arial" w:hAnsi="Arial" w:cs="Arial"/>
          <w:sz w:val="20"/>
          <w:szCs w:val="20"/>
          <w:lang w:val="en-US"/>
        </w:rPr>
        <w:t>bbl</w:t>
      </w:r>
      <w:proofErr w:type="spellEnd"/>
      <w:r w:rsidR="00776091" w:rsidRPr="003315F0">
        <w:rPr>
          <w:rFonts w:ascii="Arial" w:hAnsi="Arial" w:cs="Arial"/>
          <w:sz w:val="20"/>
          <w:szCs w:val="20"/>
        </w:rPr>
        <w:t xml:space="preserve">, </w:t>
      </w:r>
      <w:r w:rsidR="00776091">
        <w:rPr>
          <w:rFonts w:ascii="Arial" w:hAnsi="Arial" w:cs="Arial"/>
          <w:sz w:val="20"/>
          <w:szCs w:val="20"/>
        </w:rPr>
        <w:t xml:space="preserve">έναντι </w:t>
      </w:r>
      <w:r>
        <w:rPr>
          <w:rFonts w:ascii="Arial" w:hAnsi="Arial" w:cs="Arial"/>
          <w:sz w:val="20"/>
          <w:szCs w:val="20"/>
        </w:rPr>
        <w:t>5</w:t>
      </w:r>
      <w:r w:rsidR="007760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="00D241CA">
        <w:rPr>
          <w:rFonts w:ascii="Arial" w:hAnsi="Arial" w:cs="Arial"/>
          <w:sz w:val="20"/>
          <w:szCs w:val="20"/>
        </w:rPr>
        <w:t xml:space="preserve"> </w:t>
      </w:r>
      <w:r w:rsidR="00C7322D" w:rsidRPr="00CF6EAA">
        <w:rPr>
          <w:rFonts w:ascii="Arial" w:hAnsi="Arial" w:cs="Arial"/>
          <w:sz w:val="20"/>
          <w:szCs w:val="20"/>
        </w:rPr>
        <w:t>$</w:t>
      </w:r>
      <w:r w:rsidR="00776091" w:rsidRPr="003315F0">
        <w:rPr>
          <w:rFonts w:ascii="Arial" w:hAnsi="Arial" w:cs="Arial"/>
          <w:sz w:val="20"/>
          <w:szCs w:val="20"/>
        </w:rPr>
        <w:t>/</w:t>
      </w:r>
      <w:proofErr w:type="spellStart"/>
      <w:r w:rsidR="00776091">
        <w:rPr>
          <w:rFonts w:ascii="Arial" w:hAnsi="Arial" w:cs="Arial"/>
          <w:sz w:val="20"/>
          <w:szCs w:val="20"/>
          <w:lang w:val="en-US"/>
        </w:rPr>
        <w:t>bbl</w:t>
      </w:r>
      <w:proofErr w:type="spellEnd"/>
      <w:r w:rsidR="00776091" w:rsidRPr="003315F0">
        <w:rPr>
          <w:rFonts w:ascii="Arial" w:hAnsi="Arial" w:cs="Arial"/>
          <w:sz w:val="20"/>
          <w:szCs w:val="20"/>
        </w:rPr>
        <w:t xml:space="preserve"> </w:t>
      </w:r>
      <w:r w:rsidR="00776091">
        <w:rPr>
          <w:rFonts w:ascii="Arial" w:hAnsi="Arial" w:cs="Arial"/>
          <w:sz w:val="20"/>
          <w:szCs w:val="20"/>
        </w:rPr>
        <w:t>πέρυσι.</w:t>
      </w:r>
    </w:p>
    <w:p w:rsidR="0036060D" w:rsidRPr="003315F0" w:rsidRDefault="0036060D" w:rsidP="00C45C9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45C9E" w:rsidRPr="00CA2786" w:rsidRDefault="00C45C9E" w:rsidP="00C45C9E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Αύξηση ζήτησης </w:t>
      </w:r>
      <w:r w:rsidRPr="00CA2786">
        <w:rPr>
          <w:rFonts w:ascii="Arial" w:hAnsi="Arial" w:cs="Arial"/>
          <w:b/>
          <w:sz w:val="20"/>
          <w:szCs w:val="20"/>
        </w:rPr>
        <w:t xml:space="preserve">στην εγχώρια αγορά </w:t>
      </w:r>
      <w:r w:rsidR="00C33145">
        <w:rPr>
          <w:rFonts w:ascii="Arial" w:hAnsi="Arial" w:cs="Arial"/>
          <w:b/>
          <w:sz w:val="20"/>
          <w:szCs w:val="20"/>
        </w:rPr>
        <w:t>καυσίμων</w:t>
      </w:r>
    </w:p>
    <w:p w:rsidR="008F0235" w:rsidRDefault="00C45C9E" w:rsidP="008108E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</w:t>
      </w:r>
      <w:r w:rsidRPr="00CA2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ζήτηση</w:t>
      </w:r>
      <w:r w:rsidRPr="00CA2786">
        <w:rPr>
          <w:rFonts w:ascii="Arial" w:hAnsi="Arial" w:cs="Arial"/>
          <w:sz w:val="20"/>
          <w:szCs w:val="20"/>
        </w:rPr>
        <w:t xml:space="preserve"> στην εσωτερική αγορά </w:t>
      </w:r>
      <w:r w:rsidRPr="006D54AA">
        <w:rPr>
          <w:rFonts w:ascii="Arial" w:hAnsi="Arial" w:cs="Arial"/>
          <w:sz w:val="20"/>
          <w:szCs w:val="20"/>
        </w:rPr>
        <w:t>καυσίμων</w:t>
      </w:r>
      <w:r>
        <w:rPr>
          <w:rFonts w:ascii="Arial" w:hAnsi="Arial" w:cs="Arial"/>
          <w:sz w:val="20"/>
          <w:szCs w:val="20"/>
        </w:rPr>
        <w:t>,</w:t>
      </w:r>
      <w:r w:rsidRPr="005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σημείωσε αύξηση </w:t>
      </w:r>
      <w:r w:rsidR="0028194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% στο </w:t>
      </w:r>
      <w:r w:rsidR="0028194B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>΄ τρίμηνο του 201</w:t>
      </w:r>
      <w:r w:rsidR="0028194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με</w:t>
      </w:r>
      <w:r w:rsidR="00C33145">
        <w:rPr>
          <w:rFonts w:ascii="Arial" w:hAnsi="Arial" w:cs="Arial"/>
          <w:sz w:val="20"/>
          <w:szCs w:val="20"/>
        </w:rPr>
        <w:t xml:space="preserve"> το</w:t>
      </w:r>
      <w:r>
        <w:rPr>
          <w:rFonts w:ascii="Arial" w:hAnsi="Arial" w:cs="Arial"/>
          <w:sz w:val="20"/>
          <w:szCs w:val="20"/>
        </w:rPr>
        <w:t xml:space="preserve"> συνολικό όγκο κατανάλωσης στα</w:t>
      </w:r>
      <w:r w:rsidRPr="00CA2786">
        <w:rPr>
          <w:rFonts w:ascii="Arial" w:hAnsi="Arial" w:cs="Arial"/>
          <w:sz w:val="20"/>
          <w:szCs w:val="20"/>
        </w:rPr>
        <w:t xml:space="preserve"> 1,</w:t>
      </w:r>
      <w:r w:rsidR="0028194B">
        <w:rPr>
          <w:rFonts w:ascii="Arial" w:hAnsi="Arial" w:cs="Arial"/>
          <w:sz w:val="20"/>
          <w:szCs w:val="20"/>
        </w:rPr>
        <w:t>8</w:t>
      </w:r>
      <w:r w:rsidRPr="00CA2786">
        <w:rPr>
          <w:rFonts w:ascii="Arial" w:hAnsi="Arial" w:cs="Arial"/>
          <w:sz w:val="20"/>
          <w:szCs w:val="20"/>
        </w:rPr>
        <w:t xml:space="preserve"> εκατ. τόνους</w:t>
      </w:r>
      <w:r>
        <w:rPr>
          <w:rFonts w:ascii="Arial" w:hAnsi="Arial" w:cs="Arial"/>
          <w:sz w:val="20"/>
          <w:szCs w:val="20"/>
        </w:rPr>
        <w:t>,</w:t>
      </w:r>
      <w:r w:rsidR="0028194B">
        <w:rPr>
          <w:rFonts w:ascii="Arial" w:hAnsi="Arial" w:cs="Arial"/>
          <w:sz w:val="20"/>
          <w:szCs w:val="20"/>
        </w:rPr>
        <w:t xml:space="preserve"> επηρεασμένη κυρίως από</w:t>
      </w:r>
      <w:r w:rsidR="008108EA">
        <w:rPr>
          <w:rFonts w:ascii="Arial" w:hAnsi="Arial" w:cs="Arial"/>
          <w:sz w:val="20"/>
          <w:szCs w:val="20"/>
        </w:rPr>
        <w:t xml:space="preserve"> τις ψυχρ</w:t>
      </w:r>
      <w:r w:rsidR="00C33145">
        <w:rPr>
          <w:rFonts w:ascii="Arial" w:hAnsi="Arial" w:cs="Arial"/>
          <w:sz w:val="20"/>
          <w:szCs w:val="20"/>
        </w:rPr>
        <w:t>ότερες</w:t>
      </w:r>
      <w:r w:rsidR="008108EA">
        <w:rPr>
          <w:rFonts w:ascii="Arial" w:hAnsi="Arial" w:cs="Arial"/>
          <w:sz w:val="20"/>
          <w:szCs w:val="20"/>
        </w:rPr>
        <w:t xml:space="preserve"> καιρικές συνθήκες</w:t>
      </w:r>
      <w:r w:rsidR="00C7322D" w:rsidRPr="00CF6EAA">
        <w:rPr>
          <w:rFonts w:ascii="Arial" w:hAnsi="Arial" w:cs="Arial"/>
          <w:sz w:val="20"/>
          <w:szCs w:val="20"/>
        </w:rPr>
        <w:t xml:space="preserve">. </w:t>
      </w:r>
      <w:r w:rsidR="00327F24">
        <w:rPr>
          <w:rFonts w:ascii="Arial" w:hAnsi="Arial" w:cs="Arial"/>
          <w:sz w:val="20"/>
          <w:szCs w:val="20"/>
        </w:rPr>
        <w:t>Οι</w:t>
      </w:r>
      <w:r w:rsidR="00C7322D" w:rsidRPr="00CF6EAA">
        <w:rPr>
          <w:rFonts w:ascii="Arial" w:hAnsi="Arial" w:cs="Arial"/>
          <w:sz w:val="20"/>
          <w:szCs w:val="20"/>
        </w:rPr>
        <w:t xml:space="preserve"> </w:t>
      </w:r>
      <w:r w:rsidR="00C7322D">
        <w:rPr>
          <w:rFonts w:ascii="Arial" w:hAnsi="Arial" w:cs="Arial"/>
          <w:sz w:val="20"/>
          <w:szCs w:val="20"/>
        </w:rPr>
        <w:t xml:space="preserve">πωλήσεις </w:t>
      </w:r>
      <w:r w:rsidR="0028194B">
        <w:rPr>
          <w:rFonts w:ascii="Arial" w:hAnsi="Arial" w:cs="Arial"/>
          <w:sz w:val="20"/>
          <w:szCs w:val="20"/>
        </w:rPr>
        <w:t xml:space="preserve">πετρελαίου </w:t>
      </w:r>
      <w:r w:rsidR="00146F5E">
        <w:rPr>
          <w:rFonts w:ascii="Arial" w:hAnsi="Arial" w:cs="Arial"/>
          <w:sz w:val="20"/>
          <w:szCs w:val="20"/>
        </w:rPr>
        <w:t>θέρμανσης</w:t>
      </w:r>
      <w:r w:rsidR="00C7322D">
        <w:rPr>
          <w:rFonts w:ascii="Arial" w:hAnsi="Arial" w:cs="Arial"/>
          <w:sz w:val="20"/>
          <w:szCs w:val="20"/>
        </w:rPr>
        <w:t xml:space="preserve"> </w:t>
      </w:r>
      <w:r w:rsidR="008108EA">
        <w:rPr>
          <w:rFonts w:ascii="Arial" w:hAnsi="Arial" w:cs="Arial"/>
          <w:sz w:val="20"/>
          <w:szCs w:val="20"/>
        </w:rPr>
        <w:t>σημείωσ</w:t>
      </w:r>
      <w:r w:rsidR="00C7322D">
        <w:rPr>
          <w:rFonts w:ascii="Arial" w:hAnsi="Arial" w:cs="Arial"/>
          <w:sz w:val="20"/>
          <w:szCs w:val="20"/>
        </w:rPr>
        <w:t>αν</w:t>
      </w:r>
      <w:r w:rsidR="008108EA">
        <w:rPr>
          <w:rFonts w:ascii="Arial" w:hAnsi="Arial" w:cs="Arial"/>
          <w:sz w:val="20"/>
          <w:szCs w:val="20"/>
        </w:rPr>
        <w:t xml:space="preserve"> αύξηση κατά 11%</w:t>
      </w:r>
      <w:r w:rsidR="0028194B">
        <w:rPr>
          <w:rFonts w:ascii="Arial" w:hAnsi="Arial" w:cs="Arial"/>
          <w:sz w:val="20"/>
          <w:szCs w:val="20"/>
        </w:rPr>
        <w:t xml:space="preserve">, </w:t>
      </w:r>
      <w:r w:rsidR="008108EA">
        <w:rPr>
          <w:rFonts w:ascii="Arial" w:hAnsi="Arial" w:cs="Arial"/>
          <w:sz w:val="20"/>
          <w:szCs w:val="20"/>
        </w:rPr>
        <w:t>ενώ</w:t>
      </w:r>
      <w:r w:rsidR="0028194B">
        <w:rPr>
          <w:rFonts w:ascii="Arial" w:hAnsi="Arial" w:cs="Arial"/>
          <w:sz w:val="20"/>
          <w:szCs w:val="20"/>
        </w:rPr>
        <w:t xml:space="preserve"> </w:t>
      </w:r>
      <w:r w:rsidR="008108EA">
        <w:rPr>
          <w:rFonts w:ascii="Arial" w:hAnsi="Arial" w:cs="Arial"/>
          <w:sz w:val="20"/>
          <w:szCs w:val="20"/>
        </w:rPr>
        <w:t>τ</w:t>
      </w:r>
      <w:r w:rsidR="0028194B">
        <w:rPr>
          <w:rFonts w:ascii="Arial" w:hAnsi="Arial" w:cs="Arial"/>
          <w:sz w:val="20"/>
          <w:szCs w:val="20"/>
        </w:rPr>
        <w:t xml:space="preserve">α καύσιμα κίνησης </w:t>
      </w:r>
      <w:r w:rsidR="008108EA">
        <w:rPr>
          <w:rFonts w:ascii="Arial" w:hAnsi="Arial" w:cs="Arial"/>
          <w:sz w:val="20"/>
          <w:szCs w:val="20"/>
        </w:rPr>
        <w:t xml:space="preserve">κατέγραψαν </w:t>
      </w:r>
      <w:r w:rsidR="00C7322D">
        <w:rPr>
          <w:rFonts w:ascii="Arial" w:hAnsi="Arial" w:cs="Arial"/>
          <w:sz w:val="20"/>
          <w:szCs w:val="20"/>
        </w:rPr>
        <w:t xml:space="preserve">συνολικά </w:t>
      </w:r>
      <w:r w:rsidR="008108EA">
        <w:rPr>
          <w:rFonts w:ascii="Arial" w:hAnsi="Arial" w:cs="Arial"/>
          <w:sz w:val="20"/>
          <w:szCs w:val="20"/>
        </w:rPr>
        <w:t>μείωση της τάξης του 2%.</w:t>
      </w:r>
      <w:r>
        <w:rPr>
          <w:rFonts w:ascii="Arial" w:hAnsi="Arial" w:cs="Arial"/>
          <w:sz w:val="20"/>
          <w:szCs w:val="20"/>
        </w:rPr>
        <w:t xml:space="preserve"> Η αδασμολόγητη αγορά</w:t>
      </w:r>
      <w:r w:rsidR="008108EA">
        <w:rPr>
          <w:rFonts w:ascii="Arial" w:hAnsi="Arial" w:cs="Arial"/>
          <w:sz w:val="20"/>
          <w:szCs w:val="20"/>
        </w:rPr>
        <w:t xml:space="preserve"> σημείωσε επίσης αύξηση κατά </w:t>
      </w:r>
      <w:r w:rsidR="00B8393F">
        <w:rPr>
          <w:rFonts w:ascii="Arial" w:hAnsi="Arial" w:cs="Arial"/>
          <w:sz w:val="20"/>
          <w:szCs w:val="20"/>
        </w:rPr>
        <w:t>26</w:t>
      </w:r>
      <w:r w:rsidR="008108EA">
        <w:rPr>
          <w:rFonts w:ascii="Arial" w:hAnsi="Arial" w:cs="Arial"/>
          <w:sz w:val="20"/>
          <w:szCs w:val="20"/>
        </w:rPr>
        <w:t>%</w:t>
      </w:r>
      <w:r w:rsidR="00146F5E">
        <w:rPr>
          <w:rFonts w:ascii="Arial" w:hAnsi="Arial" w:cs="Arial"/>
          <w:sz w:val="20"/>
          <w:szCs w:val="20"/>
        </w:rPr>
        <w:t>,</w:t>
      </w:r>
      <w:r w:rsidR="00C7322D">
        <w:rPr>
          <w:rFonts w:ascii="Arial" w:hAnsi="Arial" w:cs="Arial"/>
          <w:sz w:val="20"/>
          <w:szCs w:val="20"/>
        </w:rPr>
        <w:t xml:space="preserve"> με κύριο </w:t>
      </w:r>
      <w:r w:rsidR="00146F5E">
        <w:rPr>
          <w:rFonts w:ascii="Arial" w:hAnsi="Arial" w:cs="Arial"/>
          <w:sz w:val="20"/>
          <w:szCs w:val="20"/>
        </w:rPr>
        <w:t>χαρακτηριστικό</w:t>
      </w:r>
      <w:r w:rsidR="00C7322D">
        <w:rPr>
          <w:rFonts w:ascii="Arial" w:hAnsi="Arial" w:cs="Arial"/>
          <w:sz w:val="20"/>
          <w:szCs w:val="20"/>
        </w:rPr>
        <w:t xml:space="preserve"> την αύξηση των πωλήσεων ναυτιλιακών καυσίμων</w:t>
      </w:r>
      <w:r w:rsidR="008108EA">
        <w:rPr>
          <w:rFonts w:ascii="Arial" w:hAnsi="Arial" w:cs="Arial"/>
          <w:sz w:val="20"/>
          <w:szCs w:val="20"/>
        </w:rPr>
        <w:t>.</w:t>
      </w:r>
    </w:p>
    <w:p w:rsidR="00C45C9E" w:rsidRDefault="00C45C9E" w:rsidP="0079627C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57DF" w:rsidRPr="004C57DF" w:rsidRDefault="00327F24" w:rsidP="001E247E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Αυξημένες</w:t>
      </w:r>
      <w:r w:rsidR="00A8473D" w:rsidRPr="004C57DF">
        <w:rPr>
          <w:rFonts w:ascii="Arial" w:hAnsi="Arial" w:cs="Arial"/>
          <w:b/>
          <w:sz w:val="20"/>
          <w:szCs w:val="20"/>
        </w:rPr>
        <w:t xml:space="preserve"> λειτουργικές ταμειακές ροές</w:t>
      </w:r>
      <w:r>
        <w:rPr>
          <w:rFonts w:ascii="Arial" w:hAnsi="Arial" w:cs="Arial"/>
          <w:b/>
          <w:sz w:val="20"/>
          <w:szCs w:val="20"/>
        </w:rPr>
        <w:t xml:space="preserve"> κατά 48%</w:t>
      </w:r>
      <w:r w:rsidR="009166D7">
        <w:rPr>
          <w:rFonts w:ascii="Arial" w:hAnsi="Arial" w:cs="Arial"/>
          <w:b/>
          <w:sz w:val="20"/>
          <w:szCs w:val="20"/>
        </w:rPr>
        <w:t>, μ</w:t>
      </w:r>
      <w:r w:rsidR="009166D7" w:rsidRPr="004C57DF">
        <w:rPr>
          <w:rFonts w:ascii="Arial" w:hAnsi="Arial" w:cs="Arial"/>
          <w:b/>
          <w:sz w:val="20"/>
          <w:szCs w:val="20"/>
        </w:rPr>
        <w:t>ε</w:t>
      </w:r>
      <w:r w:rsidR="009166D7" w:rsidRPr="006E5AFE">
        <w:rPr>
          <w:rFonts w:ascii="Arial" w:hAnsi="Arial" w:cs="Arial"/>
          <w:b/>
          <w:sz w:val="20"/>
          <w:szCs w:val="20"/>
        </w:rPr>
        <w:t>ίωση χρηματοοικονομικού κόστους</w:t>
      </w:r>
      <w:r w:rsidR="009166D7">
        <w:rPr>
          <w:rFonts w:ascii="Arial" w:hAnsi="Arial" w:cs="Arial"/>
          <w:b/>
          <w:sz w:val="20"/>
          <w:szCs w:val="20"/>
        </w:rPr>
        <w:t xml:space="preserve"> και </w:t>
      </w:r>
      <w:r w:rsidR="00FC314B">
        <w:rPr>
          <w:rFonts w:ascii="Arial" w:hAnsi="Arial" w:cs="Arial"/>
          <w:b/>
          <w:sz w:val="20"/>
          <w:szCs w:val="20"/>
        </w:rPr>
        <w:t>βελτίωση ισολογισμού</w:t>
      </w:r>
    </w:p>
    <w:p w:rsidR="009166D7" w:rsidRDefault="009166D7" w:rsidP="005C0503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  <w:r w:rsidRPr="009166D7">
        <w:rPr>
          <w:rFonts w:ascii="Arial" w:hAnsi="Arial" w:cs="Arial"/>
          <w:sz w:val="20"/>
          <w:szCs w:val="22"/>
        </w:rPr>
        <w:t>Η εφαρμογή της</w:t>
      </w:r>
      <w:r>
        <w:rPr>
          <w:rFonts w:ascii="Arial" w:hAnsi="Arial" w:cs="Arial"/>
          <w:sz w:val="20"/>
          <w:szCs w:val="22"/>
        </w:rPr>
        <w:t xml:space="preserve"> χρηματοοικονομικής</w:t>
      </w:r>
      <w:r w:rsidRPr="009166D7">
        <w:rPr>
          <w:rFonts w:ascii="Arial" w:hAnsi="Arial" w:cs="Arial"/>
          <w:sz w:val="20"/>
          <w:szCs w:val="22"/>
        </w:rPr>
        <w:t xml:space="preserve"> στρατηγικής</w:t>
      </w:r>
      <w:r>
        <w:rPr>
          <w:rFonts w:ascii="Arial" w:hAnsi="Arial" w:cs="Arial"/>
          <w:sz w:val="20"/>
          <w:szCs w:val="22"/>
        </w:rPr>
        <w:t xml:space="preserve"> του Ομίλου το 2016, με την</w:t>
      </w:r>
      <w:r w:rsidR="00C45C9E" w:rsidRPr="009166D7">
        <w:rPr>
          <w:rFonts w:ascii="Arial" w:hAnsi="Arial" w:cs="Arial"/>
          <w:sz w:val="20"/>
          <w:szCs w:val="22"/>
        </w:rPr>
        <w:t xml:space="preserve"> ομολογιακή έκδοση και </w:t>
      </w:r>
      <w:r>
        <w:rPr>
          <w:rFonts w:ascii="Arial" w:hAnsi="Arial" w:cs="Arial"/>
          <w:sz w:val="20"/>
          <w:szCs w:val="22"/>
        </w:rPr>
        <w:t>τ</w:t>
      </w:r>
      <w:r w:rsidR="00C45C9E" w:rsidRPr="009166D7">
        <w:rPr>
          <w:rFonts w:ascii="Arial" w:hAnsi="Arial" w:cs="Arial"/>
          <w:sz w:val="20"/>
          <w:szCs w:val="22"/>
        </w:rPr>
        <w:t xml:space="preserve">η </w:t>
      </w:r>
      <w:r w:rsidR="008C14BE" w:rsidRPr="009166D7">
        <w:rPr>
          <w:rFonts w:ascii="Arial" w:hAnsi="Arial" w:cs="Arial"/>
          <w:sz w:val="20"/>
          <w:szCs w:val="22"/>
        </w:rPr>
        <w:t xml:space="preserve">δημόσια </w:t>
      </w:r>
      <w:r w:rsidR="00C45C9E" w:rsidRPr="009166D7">
        <w:rPr>
          <w:rFonts w:ascii="Arial" w:hAnsi="Arial" w:cs="Arial"/>
          <w:sz w:val="20"/>
          <w:szCs w:val="22"/>
        </w:rPr>
        <w:t>πρόταση εξαγοράς</w:t>
      </w:r>
      <w:r w:rsidR="008C14BE" w:rsidRPr="009166D7">
        <w:rPr>
          <w:rFonts w:ascii="Arial" w:hAnsi="Arial" w:cs="Arial"/>
          <w:sz w:val="20"/>
          <w:szCs w:val="22"/>
        </w:rPr>
        <w:t xml:space="preserve"> των ομολόγων λήξ</w:t>
      </w:r>
      <w:r>
        <w:rPr>
          <w:rFonts w:ascii="Arial" w:hAnsi="Arial" w:cs="Arial"/>
          <w:sz w:val="20"/>
          <w:szCs w:val="22"/>
        </w:rPr>
        <w:t>ης</w:t>
      </w:r>
      <w:r w:rsidR="008C14BE" w:rsidRPr="009166D7">
        <w:rPr>
          <w:rFonts w:ascii="Arial" w:hAnsi="Arial" w:cs="Arial"/>
          <w:sz w:val="20"/>
          <w:szCs w:val="22"/>
        </w:rPr>
        <w:t xml:space="preserve"> 2017</w:t>
      </w:r>
      <w:r w:rsidR="00C45C9E" w:rsidRPr="009166D7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καθώς και</w:t>
      </w:r>
      <w:r w:rsidR="00C45C9E" w:rsidRPr="009166D7">
        <w:rPr>
          <w:rFonts w:ascii="Arial" w:hAnsi="Arial" w:cs="Arial"/>
          <w:sz w:val="20"/>
          <w:szCs w:val="22"/>
        </w:rPr>
        <w:t xml:space="preserve"> </w:t>
      </w:r>
      <w:r w:rsidR="00A8473D" w:rsidRPr="009166D7">
        <w:rPr>
          <w:rFonts w:ascii="Arial" w:hAnsi="Arial" w:cs="Arial"/>
          <w:sz w:val="20"/>
          <w:szCs w:val="22"/>
        </w:rPr>
        <w:t>τη βελτίωση των όρων των δανειακών συμβάσεων,</w:t>
      </w:r>
      <w:r>
        <w:rPr>
          <w:rFonts w:ascii="Arial" w:hAnsi="Arial" w:cs="Arial"/>
          <w:sz w:val="20"/>
          <w:szCs w:val="22"/>
        </w:rPr>
        <w:t xml:space="preserve"> </w:t>
      </w:r>
      <w:r w:rsidR="00FC314B">
        <w:rPr>
          <w:rFonts w:ascii="Arial" w:hAnsi="Arial" w:cs="Arial"/>
          <w:sz w:val="20"/>
          <w:szCs w:val="22"/>
        </w:rPr>
        <w:t xml:space="preserve">αποτέλεσαν σημαντικό μοχλό βελτίωσης </w:t>
      </w:r>
      <w:r w:rsidR="00C7322D">
        <w:rPr>
          <w:rFonts w:ascii="Arial" w:hAnsi="Arial" w:cs="Arial"/>
          <w:sz w:val="20"/>
          <w:szCs w:val="22"/>
        </w:rPr>
        <w:t>στον</w:t>
      </w:r>
      <w:r>
        <w:rPr>
          <w:rFonts w:ascii="Arial" w:hAnsi="Arial" w:cs="Arial"/>
          <w:sz w:val="20"/>
          <w:szCs w:val="22"/>
        </w:rPr>
        <w:t xml:space="preserve"> </w:t>
      </w:r>
      <w:r w:rsidR="00C7322D">
        <w:rPr>
          <w:rFonts w:ascii="Arial" w:hAnsi="Arial" w:cs="Arial"/>
          <w:sz w:val="20"/>
          <w:szCs w:val="22"/>
        </w:rPr>
        <w:t xml:space="preserve">ισολογισμό </w:t>
      </w:r>
      <w:r>
        <w:rPr>
          <w:rFonts w:ascii="Arial" w:hAnsi="Arial" w:cs="Arial"/>
          <w:sz w:val="20"/>
          <w:szCs w:val="22"/>
        </w:rPr>
        <w:t xml:space="preserve">του Ομίλου. </w:t>
      </w:r>
    </w:p>
    <w:p w:rsidR="009166D7" w:rsidRDefault="009166D7" w:rsidP="005C0503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  <w:r w:rsidRPr="009166D7">
        <w:rPr>
          <w:rFonts w:ascii="Arial" w:hAnsi="Arial" w:cs="Arial"/>
          <w:sz w:val="20"/>
          <w:szCs w:val="22"/>
        </w:rPr>
        <w:t xml:space="preserve">Οι </w:t>
      </w:r>
      <w:r w:rsidR="00FC314B">
        <w:rPr>
          <w:rFonts w:ascii="Arial" w:hAnsi="Arial" w:cs="Arial"/>
          <w:sz w:val="20"/>
          <w:szCs w:val="22"/>
        </w:rPr>
        <w:t xml:space="preserve">σταθερά, πλέον, υψηλές </w:t>
      </w:r>
      <w:r w:rsidRPr="009166D7">
        <w:rPr>
          <w:rFonts w:ascii="Arial" w:hAnsi="Arial" w:cs="Arial"/>
          <w:sz w:val="20"/>
          <w:szCs w:val="22"/>
        </w:rPr>
        <w:t xml:space="preserve">λειτουργικές ταμειακές ροές (Συγκρίσιμα Κέρδη </w:t>
      </w:r>
      <w:r w:rsidRPr="009166D7">
        <w:rPr>
          <w:rFonts w:ascii="Arial" w:hAnsi="Arial" w:cs="Arial"/>
          <w:sz w:val="20"/>
          <w:szCs w:val="22"/>
          <w:lang w:val="en-US"/>
        </w:rPr>
        <w:t>EBITDA</w:t>
      </w:r>
      <w:r w:rsidRPr="009166D7">
        <w:rPr>
          <w:rFonts w:ascii="Arial" w:hAnsi="Arial" w:cs="Arial"/>
          <w:sz w:val="20"/>
          <w:szCs w:val="22"/>
        </w:rPr>
        <w:t xml:space="preserve"> – επενδυτικές δαπάνες) διαμορφώθηκαν στα</w:t>
      </w:r>
      <w:r>
        <w:rPr>
          <w:rFonts w:ascii="Arial" w:hAnsi="Arial" w:cs="Arial"/>
          <w:sz w:val="20"/>
          <w:szCs w:val="22"/>
        </w:rPr>
        <w:t xml:space="preserve"> €211 εκατ.</w:t>
      </w:r>
      <w:r w:rsidR="00504F9A">
        <w:rPr>
          <w:rFonts w:ascii="Arial" w:hAnsi="Arial" w:cs="Arial"/>
          <w:sz w:val="20"/>
          <w:szCs w:val="22"/>
        </w:rPr>
        <w:t>,</w:t>
      </w:r>
      <w:r w:rsidR="00327F24">
        <w:rPr>
          <w:rFonts w:ascii="Arial" w:hAnsi="Arial" w:cs="Arial"/>
          <w:sz w:val="20"/>
          <w:szCs w:val="22"/>
        </w:rPr>
        <w:t xml:space="preserve"> έναντι €143 εκατ. </w:t>
      </w:r>
      <w:r w:rsidR="009102EB">
        <w:rPr>
          <w:rFonts w:ascii="Arial" w:hAnsi="Arial" w:cs="Arial"/>
          <w:sz w:val="20"/>
          <w:szCs w:val="22"/>
        </w:rPr>
        <w:t>πέρυσι,</w:t>
      </w:r>
      <w:r w:rsidR="00826C44">
        <w:rPr>
          <w:rFonts w:ascii="Arial" w:hAnsi="Arial" w:cs="Arial"/>
          <w:sz w:val="20"/>
          <w:szCs w:val="22"/>
        </w:rPr>
        <w:t xml:space="preserve"> </w:t>
      </w:r>
      <w:r w:rsidR="00FC314B">
        <w:rPr>
          <w:rFonts w:ascii="Arial" w:hAnsi="Arial" w:cs="Arial"/>
          <w:sz w:val="20"/>
          <w:szCs w:val="22"/>
        </w:rPr>
        <w:t xml:space="preserve">επιτρέποντας </w:t>
      </w:r>
      <w:r w:rsidR="00475520">
        <w:rPr>
          <w:rFonts w:ascii="Arial" w:hAnsi="Arial" w:cs="Arial"/>
          <w:sz w:val="20"/>
          <w:szCs w:val="22"/>
        </w:rPr>
        <w:t xml:space="preserve">μεγαλύτερη ευχέρεια στη διαχείριση των δανειακών υποχρεώσεων </w:t>
      </w:r>
      <w:r w:rsidR="00FC314B">
        <w:rPr>
          <w:rFonts w:ascii="Arial" w:hAnsi="Arial" w:cs="Arial"/>
          <w:sz w:val="20"/>
          <w:szCs w:val="22"/>
        </w:rPr>
        <w:t>και του κεφαλαίου κίνησης. Σ</w:t>
      </w:r>
      <w:r w:rsidR="00504F9A">
        <w:rPr>
          <w:rFonts w:ascii="Arial" w:hAnsi="Arial" w:cs="Arial"/>
          <w:sz w:val="20"/>
          <w:szCs w:val="22"/>
        </w:rPr>
        <w:t xml:space="preserve">ε αυτό το </w:t>
      </w:r>
      <w:r w:rsidR="00FC314B">
        <w:rPr>
          <w:rFonts w:ascii="Arial" w:hAnsi="Arial" w:cs="Arial"/>
          <w:sz w:val="20"/>
          <w:szCs w:val="22"/>
        </w:rPr>
        <w:t>πλαίσι</w:t>
      </w:r>
      <w:r w:rsidR="00504F9A">
        <w:rPr>
          <w:rFonts w:ascii="Arial" w:hAnsi="Arial" w:cs="Arial"/>
          <w:sz w:val="20"/>
          <w:szCs w:val="22"/>
        </w:rPr>
        <w:t>ο ο</w:t>
      </w:r>
      <w:r w:rsidR="00FC314B">
        <w:rPr>
          <w:rFonts w:ascii="Arial" w:hAnsi="Arial" w:cs="Arial"/>
          <w:sz w:val="20"/>
          <w:szCs w:val="22"/>
        </w:rPr>
        <w:t xml:space="preserve"> συνολικός δανεισμός συνέχισε να μειώνεται κατά τα τελευταία τρίμηνα</w:t>
      </w:r>
      <w:r w:rsidR="00504F9A">
        <w:rPr>
          <w:rFonts w:ascii="Arial" w:hAnsi="Arial" w:cs="Arial"/>
          <w:sz w:val="20"/>
          <w:szCs w:val="22"/>
        </w:rPr>
        <w:t>,</w:t>
      </w:r>
      <w:r w:rsidR="00FC314B">
        <w:rPr>
          <w:rFonts w:ascii="Arial" w:hAnsi="Arial" w:cs="Arial"/>
          <w:sz w:val="20"/>
          <w:szCs w:val="22"/>
        </w:rPr>
        <w:t xml:space="preserve"> ενώ η αποπληρωμή </w:t>
      </w:r>
      <w:r w:rsidR="00475520">
        <w:rPr>
          <w:rFonts w:ascii="Arial" w:hAnsi="Arial" w:cs="Arial"/>
          <w:sz w:val="20"/>
          <w:szCs w:val="22"/>
        </w:rPr>
        <w:t>το</w:t>
      </w:r>
      <w:r w:rsidR="00FC314B">
        <w:rPr>
          <w:rFonts w:ascii="Arial" w:hAnsi="Arial" w:cs="Arial"/>
          <w:sz w:val="20"/>
          <w:szCs w:val="22"/>
        </w:rPr>
        <w:t>υ</w:t>
      </w:r>
      <w:r w:rsidR="00826C44">
        <w:rPr>
          <w:rFonts w:ascii="Arial" w:hAnsi="Arial" w:cs="Arial"/>
          <w:sz w:val="20"/>
          <w:szCs w:val="22"/>
        </w:rPr>
        <w:t xml:space="preserve"> ευρωομ</w:t>
      </w:r>
      <w:r w:rsidR="00FC314B">
        <w:rPr>
          <w:rFonts w:ascii="Arial" w:hAnsi="Arial" w:cs="Arial"/>
          <w:sz w:val="20"/>
          <w:szCs w:val="22"/>
        </w:rPr>
        <w:t>ο</w:t>
      </w:r>
      <w:r w:rsidR="00826C44">
        <w:rPr>
          <w:rFonts w:ascii="Arial" w:hAnsi="Arial" w:cs="Arial"/>
          <w:sz w:val="20"/>
          <w:szCs w:val="22"/>
        </w:rPr>
        <w:t>λ</w:t>
      </w:r>
      <w:r w:rsidR="00FC314B">
        <w:rPr>
          <w:rFonts w:ascii="Arial" w:hAnsi="Arial" w:cs="Arial"/>
          <w:sz w:val="20"/>
          <w:szCs w:val="22"/>
        </w:rPr>
        <w:t>ό</w:t>
      </w:r>
      <w:r w:rsidR="00826C44">
        <w:rPr>
          <w:rFonts w:ascii="Arial" w:hAnsi="Arial" w:cs="Arial"/>
          <w:sz w:val="20"/>
          <w:szCs w:val="22"/>
        </w:rPr>
        <w:t>γο</w:t>
      </w:r>
      <w:r w:rsidR="00FC314B">
        <w:rPr>
          <w:rFonts w:ascii="Arial" w:hAnsi="Arial" w:cs="Arial"/>
          <w:sz w:val="20"/>
          <w:szCs w:val="22"/>
        </w:rPr>
        <w:t>υ</w:t>
      </w:r>
      <w:r w:rsidR="00826C44">
        <w:rPr>
          <w:rFonts w:ascii="Arial" w:hAnsi="Arial" w:cs="Arial"/>
          <w:sz w:val="20"/>
          <w:szCs w:val="22"/>
        </w:rPr>
        <w:t xml:space="preserve"> λήξης 2017, με επιτόκιο 8%, </w:t>
      </w:r>
      <w:r w:rsidR="00FC314B">
        <w:rPr>
          <w:rFonts w:ascii="Arial" w:hAnsi="Arial" w:cs="Arial"/>
          <w:sz w:val="20"/>
          <w:szCs w:val="22"/>
        </w:rPr>
        <w:t xml:space="preserve">που έγινε </w:t>
      </w:r>
      <w:r w:rsidR="00826C44">
        <w:rPr>
          <w:rFonts w:ascii="Arial" w:hAnsi="Arial" w:cs="Arial"/>
          <w:sz w:val="20"/>
          <w:szCs w:val="22"/>
        </w:rPr>
        <w:t>στις 10 Μαΐου</w:t>
      </w:r>
      <w:r w:rsidR="009B798E">
        <w:rPr>
          <w:rFonts w:ascii="Arial" w:hAnsi="Arial" w:cs="Arial"/>
          <w:sz w:val="20"/>
          <w:szCs w:val="22"/>
        </w:rPr>
        <w:t xml:space="preserve"> 2017</w:t>
      </w:r>
      <w:r w:rsidR="00826C44">
        <w:rPr>
          <w:rFonts w:ascii="Arial" w:hAnsi="Arial" w:cs="Arial"/>
          <w:sz w:val="20"/>
          <w:szCs w:val="22"/>
        </w:rPr>
        <w:t xml:space="preserve">, </w:t>
      </w:r>
      <w:r w:rsidR="00475520">
        <w:rPr>
          <w:rFonts w:ascii="Arial" w:hAnsi="Arial" w:cs="Arial"/>
          <w:sz w:val="20"/>
          <w:szCs w:val="22"/>
        </w:rPr>
        <w:t>οδηγ</w:t>
      </w:r>
      <w:r w:rsidR="00FC314B">
        <w:rPr>
          <w:rFonts w:ascii="Arial" w:hAnsi="Arial" w:cs="Arial"/>
          <w:sz w:val="20"/>
          <w:szCs w:val="22"/>
        </w:rPr>
        <w:t>εί</w:t>
      </w:r>
      <w:r w:rsidR="00475520">
        <w:rPr>
          <w:rFonts w:ascii="Arial" w:hAnsi="Arial" w:cs="Arial"/>
          <w:sz w:val="20"/>
          <w:szCs w:val="22"/>
        </w:rPr>
        <w:t xml:space="preserve"> το συνολικό δανεισμό του Ομίλου σε ακόμη χαμηλότερα επίπεδα.</w:t>
      </w:r>
      <w:r w:rsidR="00FC314B">
        <w:rPr>
          <w:rFonts w:ascii="Arial" w:hAnsi="Arial" w:cs="Arial"/>
          <w:sz w:val="20"/>
          <w:szCs w:val="22"/>
        </w:rPr>
        <w:t xml:space="preserve"> </w:t>
      </w:r>
      <w:r w:rsidR="00475520">
        <w:rPr>
          <w:rFonts w:ascii="Arial" w:hAnsi="Arial" w:cs="Arial"/>
          <w:sz w:val="20"/>
          <w:szCs w:val="22"/>
        </w:rPr>
        <w:t>Ο</w:t>
      </w:r>
      <w:r w:rsidRPr="009166D7">
        <w:rPr>
          <w:rFonts w:ascii="Arial" w:hAnsi="Arial" w:cs="Arial"/>
          <w:sz w:val="20"/>
          <w:szCs w:val="22"/>
        </w:rPr>
        <w:t xml:space="preserve"> καθαρός δανεισμός</w:t>
      </w:r>
      <w:r w:rsidR="00826C44">
        <w:rPr>
          <w:rFonts w:ascii="Arial" w:hAnsi="Arial" w:cs="Arial"/>
          <w:sz w:val="20"/>
          <w:szCs w:val="22"/>
        </w:rPr>
        <w:t xml:space="preserve"> </w:t>
      </w:r>
      <w:r w:rsidR="00854DF7">
        <w:rPr>
          <w:rFonts w:ascii="Arial" w:hAnsi="Arial" w:cs="Arial"/>
          <w:sz w:val="20"/>
          <w:szCs w:val="22"/>
        </w:rPr>
        <w:t>διαμορφώθηκε</w:t>
      </w:r>
      <w:r w:rsidR="00826C44">
        <w:rPr>
          <w:rFonts w:ascii="Arial" w:hAnsi="Arial" w:cs="Arial"/>
          <w:sz w:val="20"/>
          <w:szCs w:val="22"/>
        </w:rPr>
        <w:t xml:space="preserve"> στα €1,8 δι</w:t>
      </w:r>
      <w:r w:rsidR="004F1675">
        <w:rPr>
          <w:rFonts w:ascii="Arial" w:hAnsi="Arial" w:cs="Arial"/>
          <w:sz w:val="20"/>
          <w:szCs w:val="22"/>
        </w:rPr>
        <w:t>σ</w:t>
      </w:r>
      <w:r w:rsidR="00826C44">
        <w:rPr>
          <w:rFonts w:ascii="Arial" w:hAnsi="Arial" w:cs="Arial"/>
          <w:sz w:val="20"/>
          <w:szCs w:val="22"/>
        </w:rPr>
        <w:t xml:space="preserve">. </w:t>
      </w:r>
      <w:r w:rsidRPr="009166D7">
        <w:rPr>
          <w:rFonts w:ascii="Arial" w:hAnsi="Arial" w:cs="Arial"/>
          <w:sz w:val="20"/>
          <w:szCs w:val="22"/>
        </w:rPr>
        <w:t xml:space="preserve">στο </w:t>
      </w:r>
      <w:r w:rsidR="00E46502">
        <w:rPr>
          <w:rFonts w:ascii="Arial" w:hAnsi="Arial" w:cs="Arial"/>
          <w:sz w:val="20"/>
          <w:szCs w:val="22"/>
        </w:rPr>
        <w:t>Α</w:t>
      </w:r>
      <w:r w:rsidRPr="009166D7">
        <w:rPr>
          <w:rFonts w:ascii="Arial" w:hAnsi="Arial" w:cs="Arial"/>
          <w:sz w:val="20"/>
          <w:szCs w:val="22"/>
        </w:rPr>
        <w:t>’ Τρίμηνο 201</w:t>
      </w:r>
      <w:r w:rsidR="00E46502">
        <w:rPr>
          <w:rFonts w:ascii="Arial" w:hAnsi="Arial" w:cs="Arial"/>
          <w:sz w:val="20"/>
          <w:szCs w:val="22"/>
        </w:rPr>
        <w:t>7</w:t>
      </w:r>
      <w:r w:rsidRPr="009166D7">
        <w:rPr>
          <w:rFonts w:ascii="Arial" w:hAnsi="Arial" w:cs="Arial"/>
          <w:sz w:val="20"/>
          <w:szCs w:val="22"/>
        </w:rPr>
        <w:t xml:space="preserve">, </w:t>
      </w:r>
      <w:r w:rsidR="00D241CA">
        <w:rPr>
          <w:rFonts w:ascii="Arial" w:hAnsi="Arial" w:cs="Arial"/>
          <w:sz w:val="20"/>
          <w:szCs w:val="22"/>
        </w:rPr>
        <w:t>σε επίπεδα αντίστοιχα με το τέλος του έτους.</w:t>
      </w:r>
      <w:r w:rsidR="00854DF7" w:rsidRPr="00854DF7">
        <w:rPr>
          <w:rFonts w:ascii="Arial" w:hAnsi="Arial" w:cs="Arial"/>
          <w:sz w:val="20"/>
          <w:szCs w:val="22"/>
        </w:rPr>
        <w:t xml:space="preserve"> </w:t>
      </w:r>
      <w:r w:rsidR="00854DF7">
        <w:rPr>
          <w:rFonts w:ascii="Arial" w:hAnsi="Arial" w:cs="Arial"/>
          <w:sz w:val="20"/>
          <w:szCs w:val="22"/>
        </w:rPr>
        <w:t xml:space="preserve">Επιπλέον, τα χρηματοοικονομικά έξοδα στο Α’ Τρίμηνο σημείωσαν μείωση </w:t>
      </w:r>
      <w:r w:rsidR="00A56E74" w:rsidRPr="00A56E74">
        <w:rPr>
          <w:rFonts w:ascii="Arial" w:hAnsi="Arial" w:cs="Arial"/>
          <w:sz w:val="20"/>
          <w:szCs w:val="22"/>
        </w:rPr>
        <w:t>4</w:t>
      </w:r>
      <w:r w:rsidR="00854DF7">
        <w:rPr>
          <w:rFonts w:ascii="Arial" w:hAnsi="Arial" w:cs="Arial"/>
          <w:sz w:val="20"/>
          <w:szCs w:val="22"/>
        </w:rPr>
        <w:t>%</w:t>
      </w:r>
      <w:r w:rsidR="00D241CA">
        <w:rPr>
          <w:rFonts w:ascii="Arial" w:hAnsi="Arial" w:cs="Arial"/>
          <w:sz w:val="20"/>
          <w:szCs w:val="22"/>
        </w:rPr>
        <w:t xml:space="preserve">, </w:t>
      </w:r>
      <w:r w:rsidR="00854DF7">
        <w:rPr>
          <w:rFonts w:ascii="Arial" w:hAnsi="Arial" w:cs="Arial"/>
          <w:sz w:val="20"/>
          <w:szCs w:val="22"/>
        </w:rPr>
        <w:t>τάση που αναμένεται να ενισχυθεί στα επόμενα τρίμηνα του 2017.</w:t>
      </w:r>
    </w:p>
    <w:p w:rsidR="00F26A33" w:rsidRPr="009166D7" w:rsidRDefault="00F26A33" w:rsidP="005C0503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</w:p>
    <w:p w:rsidR="00AC30A8" w:rsidRPr="00AC30A8" w:rsidRDefault="00AC30A8" w:rsidP="005C0503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Κύριες στρατηγικές εξελίξεις</w:t>
      </w:r>
    </w:p>
    <w:p w:rsidR="00AC30A8" w:rsidRPr="00F639FA" w:rsidRDefault="00D679C4" w:rsidP="001E24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Στον κλάδο Έρευνας και Παραγωγής, συνεχίζονται οι προγραμματισμένες έρευνες στην παραχώρηση του Πατραϊκού κόλπου, ενώ ολοκληρώθηκε και μονογραφήθηκε η Σύμβαση Μίσθωσης για τη θαλάσσια περιοχή 2 (επιχειρηματικό σχήμα από </w:t>
      </w:r>
      <w:r>
        <w:rPr>
          <w:rFonts w:ascii="Arial" w:hAnsi="Arial" w:cs="Arial"/>
          <w:sz w:val="20"/>
          <w:szCs w:val="20"/>
          <w:lang w:val="en-US"/>
        </w:rPr>
        <w:t>Total</w:t>
      </w:r>
      <w:r w:rsidRPr="00D67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operator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Edison</w:t>
      </w:r>
      <w:r w:rsidRPr="00D67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και ΕΛΠΕ) και είναι σε εξέλιξη η διαπραγμάτευση για τις θαλάσσιες περιοχές 1 και 10. Οι Συμβάσεις Μίσθωσης για τις χερσαίες περιοχές «Άρτα-Πρέβεζα» και «ΒΔ Πελοπόννησος» αναμένεται να υπογραφούν στις</w:t>
      </w:r>
      <w:r w:rsidR="009D13C8" w:rsidRPr="009D13C8">
        <w:rPr>
          <w:rFonts w:ascii="Arial" w:hAnsi="Arial" w:cs="Arial"/>
          <w:sz w:val="20"/>
          <w:szCs w:val="20"/>
        </w:rPr>
        <w:t xml:space="preserve"> </w:t>
      </w:r>
      <w:r w:rsidR="009D13C8">
        <w:rPr>
          <w:rFonts w:ascii="Arial" w:hAnsi="Arial" w:cs="Arial"/>
          <w:sz w:val="20"/>
          <w:szCs w:val="20"/>
        </w:rPr>
        <w:t>επόμενες βδομάδες</w:t>
      </w:r>
      <w:r>
        <w:rPr>
          <w:rFonts w:ascii="Arial" w:hAnsi="Arial" w:cs="Arial"/>
          <w:sz w:val="20"/>
          <w:szCs w:val="20"/>
        </w:rPr>
        <w:t>. Η ΕΛΛΗΝΙΚΑ ΠΕΤΡΕΛΑΙΑ αναμένει την ολοκλήρωση των διαδικασιών και την κύρωσή των συμβάσεων από το Ελληνικό Κοινοβούλιο, ώστε να προχωρήσει άμεσα στην έναρξη των ερευνητικών εργασιών.</w:t>
      </w:r>
    </w:p>
    <w:p w:rsidR="00C33076" w:rsidRDefault="00C33076" w:rsidP="001E24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93D6F">
        <w:rPr>
          <w:rFonts w:ascii="Arial" w:hAnsi="Arial" w:cs="Arial"/>
          <w:sz w:val="20"/>
          <w:szCs w:val="20"/>
        </w:rPr>
        <w:t>Αναφορικά με</w:t>
      </w:r>
      <w:r w:rsidR="00854DF7">
        <w:rPr>
          <w:rFonts w:ascii="Arial" w:hAnsi="Arial" w:cs="Arial"/>
          <w:sz w:val="20"/>
          <w:szCs w:val="20"/>
        </w:rPr>
        <w:t xml:space="preserve"> την έμμεση συμμετοχή </w:t>
      </w:r>
      <w:r w:rsidR="00FC314B">
        <w:rPr>
          <w:rFonts w:ascii="Arial" w:hAnsi="Arial" w:cs="Arial"/>
          <w:sz w:val="20"/>
          <w:szCs w:val="20"/>
        </w:rPr>
        <w:t xml:space="preserve">του (μέσω της ΔΕΠΑ) </w:t>
      </w:r>
      <w:r w:rsidR="00854DF7">
        <w:rPr>
          <w:rFonts w:ascii="Arial" w:hAnsi="Arial" w:cs="Arial"/>
          <w:sz w:val="20"/>
          <w:szCs w:val="20"/>
        </w:rPr>
        <w:t>κατά 35% στο μετοχικό κεφάλαιο του ΔΕΣΦΑ</w:t>
      </w:r>
      <w:r w:rsidR="00314927">
        <w:rPr>
          <w:rFonts w:ascii="Arial" w:hAnsi="Arial" w:cs="Arial"/>
          <w:sz w:val="20"/>
          <w:szCs w:val="20"/>
        </w:rPr>
        <w:t xml:space="preserve">, ο </w:t>
      </w:r>
      <w:r w:rsidR="00BC1C21">
        <w:rPr>
          <w:rFonts w:ascii="Arial" w:hAnsi="Arial" w:cs="Arial"/>
          <w:sz w:val="20"/>
          <w:szCs w:val="20"/>
        </w:rPr>
        <w:t>Όμιλος, σε συνεργασία με το ΤΑΙΠΕΔ που κατέχει το υπόλοιπο 65%, εξετάζει τις εναλλακτικές του επιδιώκοντας τη μεγιστοποίηση της αξίας της συμμετοχής του.</w:t>
      </w:r>
    </w:p>
    <w:p w:rsidR="001652BF" w:rsidRPr="00EA77FC" w:rsidRDefault="001652BF" w:rsidP="001E247E">
      <w:pPr>
        <w:spacing w:before="120" w:after="120" w:line="360" w:lineRule="auto"/>
        <w:jc w:val="both"/>
        <w:rPr>
          <w:rFonts w:ascii="Arial" w:hAnsi="Arial" w:cs="Arial"/>
          <w:b/>
          <w:sz w:val="2"/>
          <w:szCs w:val="20"/>
          <w:highlight w:val="yellow"/>
        </w:rPr>
      </w:pPr>
    </w:p>
    <w:p w:rsidR="00A7308A" w:rsidRPr="00EA77FC" w:rsidRDefault="00A7308A" w:rsidP="001E24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C37ECA">
        <w:rPr>
          <w:rFonts w:ascii="Arial" w:hAnsi="Arial" w:cs="Arial"/>
          <w:sz w:val="20"/>
          <w:szCs w:val="20"/>
        </w:rPr>
        <w:t xml:space="preserve">Κύρια σημεία των αποτελεσμάτων </w:t>
      </w:r>
      <w:r w:rsidR="00BC1C21">
        <w:rPr>
          <w:rFonts w:ascii="Arial" w:hAnsi="Arial" w:cs="Arial"/>
          <w:sz w:val="20"/>
          <w:szCs w:val="20"/>
        </w:rPr>
        <w:t>Α</w:t>
      </w:r>
      <w:r w:rsidR="005C328A" w:rsidRPr="00C37ECA">
        <w:rPr>
          <w:rFonts w:ascii="Arial" w:hAnsi="Arial" w:cs="Arial"/>
          <w:sz w:val="20"/>
          <w:szCs w:val="20"/>
        </w:rPr>
        <w:t xml:space="preserve">’ </w:t>
      </w:r>
      <w:proofErr w:type="spellStart"/>
      <w:r w:rsidR="005C328A" w:rsidRPr="00C37ECA">
        <w:rPr>
          <w:rFonts w:ascii="Arial" w:hAnsi="Arial" w:cs="Arial"/>
          <w:sz w:val="20"/>
          <w:szCs w:val="20"/>
        </w:rPr>
        <w:t>Τριμ</w:t>
      </w:r>
      <w:proofErr w:type="spellEnd"/>
      <w:r w:rsidR="005C328A" w:rsidRPr="00C37ECA">
        <w:rPr>
          <w:rFonts w:ascii="Arial" w:hAnsi="Arial" w:cs="Arial"/>
          <w:sz w:val="20"/>
          <w:szCs w:val="20"/>
        </w:rPr>
        <w:t>. 201</w:t>
      </w:r>
      <w:r w:rsidR="00BC1C21">
        <w:rPr>
          <w:rFonts w:ascii="Arial" w:hAnsi="Arial" w:cs="Arial"/>
          <w:sz w:val="20"/>
          <w:szCs w:val="20"/>
        </w:rPr>
        <w:t>7</w:t>
      </w:r>
      <w:r w:rsidR="005C328A" w:rsidRPr="00C37ECA">
        <w:rPr>
          <w:rFonts w:ascii="Arial" w:hAnsi="Arial" w:cs="Arial"/>
          <w:sz w:val="20"/>
          <w:szCs w:val="20"/>
        </w:rPr>
        <w:t xml:space="preserve"> </w:t>
      </w:r>
      <w:r w:rsidR="00456537" w:rsidRPr="00C37ECA">
        <w:rPr>
          <w:rFonts w:ascii="Arial" w:hAnsi="Arial" w:cs="Arial"/>
          <w:sz w:val="20"/>
          <w:szCs w:val="20"/>
        </w:rPr>
        <w:t>για τις επιμέρους επιχειρηματικές δραστηριότητες αναφέρονται πιο κάτω</w:t>
      </w:r>
      <w:r w:rsidRPr="00C37ECA">
        <w:rPr>
          <w:rFonts w:ascii="Arial" w:hAnsi="Arial" w:cs="Arial"/>
          <w:sz w:val="20"/>
          <w:szCs w:val="20"/>
        </w:rPr>
        <w:t>:</w:t>
      </w:r>
    </w:p>
    <w:p w:rsidR="0087781E" w:rsidRPr="00EA77FC" w:rsidRDefault="0087781E" w:rsidP="001E247E">
      <w:pPr>
        <w:spacing w:before="120" w:after="120" w:line="360" w:lineRule="auto"/>
        <w:jc w:val="both"/>
        <w:rPr>
          <w:rFonts w:ascii="Arial" w:hAnsi="Arial" w:cs="Arial"/>
          <w:b/>
          <w:sz w:val="16"/>
          <w:szCs w:val="20"/>
          <w:highlight w:val="yellow"/>
          <w:u w:val="single"/>
        </w:rPr>
      </w:pPr>
    </w:p>
    <w:p w:rsidR="00A7308A" w:rsidRDefault="00A7308A" w:rsidP="001E247E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79F1">
        <w:rPr>
          <w:rFonts w:ascii="Arial" w:hAnsi="Arial" w:cs="Arial"/>
          <w:b/>
          <w:sz w:val="20"/>
          <w:szCs w:val="20"/>
          <w:u w:val="single"/>
        </w:rPr>
        <w:t xml:space="preserve">ΔΙΥΛΙΣΗ, ΕΦΟΔΙΑΣΜΟΣ &amp; </w:t>
      </w:r>
      <w:r w:rsidR="0002150A">
        <w:rPr>
          <w:rFonts w:ascii="Arial" w:hAnsi="Arial" w:cs="Arial"/>
          <w:b/>
          <w:sz w:val="20"/>
          <w:szCs w:val="20"/>
          <w:u w:val="single"/>
        </w:rPr>
        <w:t>ΠΩΛΗΣΕΙΣ</w:t>
      </w:r>
    </w:p>
    <w:p w:rsidR="00443DAA" w:rsidRPr="004579F1" w:rsidRDefault="00626DC2" w:rsidP="001E247E">
      <w:pPr>
        <w:pStyle w:val="BlockText"/>
        <w:numPr>
          <w:ilvl w:val="0"/>
          <w:numId w:val="2"/>
        </w:numPr>
        <w:snapToGrid w:val="0"/>
        <w:spacing w:before="120" w:after="120" w:line="360" w:lineRule="auto"/>
        <w:ind w:right="0"/>
        <w:rPr>
          <w:sz w:val="20"/>
        </w:rPr>
      </w:pPr>
      <w:r w:rsidRPr="004579F1">
        <w:rPr>
          <w:sz w:val="20"/>
        </w:rPr>
        <w:t>Τ</w:t>
      </w:r>
      <w:r w:rsidR="008F1751" w:rsidRPr="004579F1">
        <w:rPr>
          <w:sz w:val="20"/>
        </w:rPr>
        <w:t xml:space="preserve">ο </w:t>
      </w:r>
      <w:r w:rsidR="00BC1C21">
        <w:rPr>
          <w:sz w:val="20"/>
        </w:rPr>
        <w:t>Α</w:t>
      </w:r>
      <w:r w:rsidR="00B776FB" w:rsidRPr="004579F1">
        <w:rPr>
          <w:sz w:val="20"/>
        </w:rPr>
        <w:t xml:space="preserve">’ </w:t>
      </w:r>
      <w:proofErr w:type="spellStart"/>
      <w:r w:rsidR="00B776FB" w:rsidRPr="004579F1">
        <w:rPr>
          <w:sz w:val="20"/>
        </w:rPr>
        <w:t>Τρίμ</w:t>
      </w:r>
      <w:proofErr w:type="spellEnd"/>
      <w:r w:rsidR="00B776FB" w:rsidRPr="004579F1">
        <w:rPr>
          <w:sz w:val="20"/>
        </w:rPr>
        <w:t>.</w:t>
      </w:r>
      <w:r w:rsidR="00BC1C21">
        <w:rPr>
          <w:sz w:val="20"/>
        </w:rPr>
        <w:t xml:space="preserve"> 2017</w:t>
      </w:r>
      <w:r w:rsidR="00B776FB" w:rsidRPr="004579F1">
        <w:rPr>
          <w:sz w:val="20"/>
        </w:rPr>
        <w:t>, τ</w:t>
      </w:r>
      <w:r w:rsidRPr="004579F1">
        <w:rPr>
          <w:sz w:val="20"/>
        </w:rPr>
        <w:t xml:space="preserve">α Συγκρίσιμα Κέρδη </w:t>
      </w:r>
      <w:r w:rsidRPr="004579F1">
        <w:rPr>
          <w:sz w:val="20"/>
          <w:lang w:val="en-GB"/>
        </w:rPr>
        <w:t>EBITDA</w:t>
      </w:r>
      <w:r w:rsidRPr="004579F1">
        <w:rPr>
          <w:sz w:val="20"/>
        </w:rPr>
        <w:t xml:space="preserve"> του κλάδου Διύλισης, Εφοδιασμού και </w:t>
      </w:r>
      <w:r w:rsidR="00A60616">
        <w:rPr>
          <w:sz w:val="20"/>
        </w:rPr>
        <w:t>Πωλήσεων</w:t>
      </w:r>
      <w:r w:rsidR="00A60616" w:rsidRPr="004579F1">
        <w:rPr>
          <w:sz w:val="20"/>
        </w:rPr>
        <w:t xml:space="preserve"> </w:t>
      </w:r>
      <w:r w:rsidRPr="004579F1">
        <w:rPr>
          <w:sz w:val="20"/>
        </w:rPr>
        <w:t>ανήλθαν στα €</w:t>
      </w:r>
      <w:r w:rsidR="001F3CD5" w:rsidRPr="004579F1">
        <w:rPr>
          <w:sz w:val="20"/>
        </w:rPr>
        <w:t>1</w:t>
      </w:r>
      <w:r w:rsidR="00BC1C21">
        <w:rPr>
          <w:sz w:val="20"/>
        </w:rPr>
        <w:t>90</w:t>
      </w:r>
      <w:r w:rsidR="001F3CD5" w:rsidRPr="004579F1">
        <w:rPr>
          <w:sz w:val="20"/>
        </w:rPr>
        <w:t xml:space="preserve"> </w:t>
      </w:r>
      <w:r w:rsidR="00A272F1" w:rsidRPr="004579F1">
        <w:rPr>
          <w:sz w:val="20"/>
        </w:rPr>
        <w:t>εκατ</w:t>
      </w:r>
      <w:r w:rsidR="008C1978" w:rsidRPr="004579F1">
        <w:rPr>
          <w:sz w:val="20"/>
        </w:rPr>
        <w:t>.</w:t>
      </w:r>
      <w:r w:rsidR="00BC1C21">
        <w:rPr>
          <w:sz w:val="20"/>
        </w:rPr>
        <w:t xml:space="preserve"> (+39%)</w:t>
      </w:r>
      <w:r w:rsidR="00C108C6">
        <w:rPr>
          <w:sz w:val="20"/>
        </w:rPr>
        <w:t>.</w:t>
      </w:r>
    </w:p>
    <w:p w:rsidR="009050BA" w:rsidRPr="004579F1" w:rsidRDefault="008C3B2D" w:rsidP="001E247E">
      <w:pPr>
        <w:pStyle w:val="BlockText"/>
        <w:numPr>
          <w:ilvl w:val="0"/>
          <w:numId w:val="2"/>
        </w:numPr>
        <w:snapToGrid w:val="0"/>
        <w:spacing w:before="120" w:after="120" w:line="360" w:lineRule="auto"/>
        <w:ind w:right="0"/>
        <w:rPr>
          <w:sz w:val="20"/>
        </w:rPr>
      </w:pPr>
      <w:r w:rsidRPr="004579F1">
        <w:rPr>
          <w:sz w:val="20"/>
        </w:rPr>
        <w:t>Η παραγωγή των</w:t>
      </w:r>
      <w:r w:rsidR="007062BC" w:rsidRPr="004579F1">
        <w:rPr>
          <w:sz w:val="20"/>
        </w:rPr>
        <w:t xml:space="preserve"> διυλιστ</w:t>
      </w:r>
      <w:r w:rsidRPr="004579F1">
        <w:rPr>
          <w:sz w:val="20"/>
        </w:rPr>
        <w:t>η</w:t>
      </w:r>
      <w:r w:rsidR="007062BC" w:rsidRPr="004579F1">
        <w:rPr>
          <w:sz w:val="20"/>
        </w:rPr>
        <w:t>ρ</w:t>
      </w:r>
      <w:r w:rsidRPr="004579F1">
        <w:rPr>
          <w:sz w:val="20"/>
        </w:rPr>
        <w:t>ίων</w:t>
      </w:r>
      <w:r w:rsidR="007062BC" w:rsidRPr="004579F1">
        <w:rPr>
          <w:sz w:val="20"/>
        </w:rPr>
        <w:t xml:space="preserve"> του Ομίλου</w:t>
      </w:r>
      <w:r w:rsidR="009050BA" w:rsidRPr="004579F1">
        <w:rPr>
          <w:sz w:val="20"/>
        </w:rPr>
        <w:t xml:space="preserve"> ανήλθε στα</w:t>
      </w:r>
      <w:r w:rsidRPr="004579F1">
        <w:rPr>
          <w:sz w:val="20"/>
        </w:rPr>
        <w:t xml:space="preserve"> </w:t>
      </w:r>
      <w:r w:rsidR="00697AAC">
        <w:rPr>
          <w:sz w:val="20"/>
        </w:rPr>
        <w:t>3,</w:t>
      </w:r>
      <w:r w:rsidR="00BC1C21">
        <w:rPr>
          <w:sz w:val="20"/>
        </w:rPr>
        <w:t>8</w:t>
      </w:r>
      <w:r w:rsidRPr="004579F1">
        <w:rPr>
          <w:sz w:val="20"/>
        </w:rPr>
        <w:t xml:space="preserve"> εκατ. τόνους</w:t>
      </w:r>
      <w:r w:rsidR="008F1751" w:rsidRPr="004579F1">
        <w:rPr>
          <w:sz w:val="20"/>
        </w:rPr>
        <w:t>,</w:t>
      </w:r>
      <w:r w:rsidR="00BC1C21">
        <w:rPr>
          <w:sz w:val="20"/>
        </w:rPr>
        <w:t xml:space="preserve"> λόγω αυξημένης διαθεσιμότητας των μονάδων των διυλιστηρίων, με τις πωλήσεις να ξεπερνούν τα 4 εκατ. τόνους, </w:t>
      </w:r>
      <w:r w:rsidR="00793D6F">
        <w:rPr>
          <w:sz w:val="20"/>
        </w:rPr>
        <w:t>ενώ</w:t>
      </w:r>
      <w:r w:rsidR="00484DFD">
        <w:rPr>
          <w:sz w:val="20"/>
        </w:rPr>
        <w:t xml:space="preserve"> </w:t>
      </w:r>
      <w:r w:rsidR="00793D6F">
        <w:rPr>
          <w:sz w:val="20"/>
        </w:rPr>
        <w:t>οι</w:t>
      </w:r>
      <w:r w:rsidR="00484DFD">
        <w:rPr>
          <w:sz w:val="20"/>
        </w:rPr>
        <w:t xml:space="preserve"> </w:t>
      </w:r>
      <w:r w:rsidR="00697AAC">
        <w:rPr>
          <w:sz w:val="20"/>
        </w:rPr>
        <w:t>εξαγωγ</w:t>
      </w:r>
      <w:r w:rsidR="00F639FA">
        <w:rPr>
          <w:sz w:val="20"/>
        </w:rPr>
        <w:t>ές αντιπροσωπεύουν 5</w:t>
      </w:r>
      <w:r w:rsidR="00BC1C21">
        <w:rPr>
          <w:sz w:val="20"/>
        </w:rPr>
        <w:t>5</w:t>
      </w:r>
      <w:r w:rsidR="00F639FA">
        <w:rPr>
          <w:sz w:val="20"/>
        </w:rPr>
        <w:t>% των συνολικών πωλήσεων</w:t>
      </w:r>
      <w:r w:rsidR="00484DFD">
        <w:rPr>
          <w:sz w:val="20"/>
        </w:rPr>
        <w:t>.</w:t>
      </w:r>
    </w:p>
    <w:p w:rsidR="0010245A" w:rsidRPr="004579F1" w:rsidRDefault="009050BA" w:rsidP="009050BA">
      <w:pPr>
        <w:pStyle w:val="BlockText"/>
        <w:numPr>
          <w:ilvl w:val="0"/>
          <w:numId w:val="2"/>
        </w:numPr>
        <w:snapToGrid w:val="0"/>
        <w:spacing w:before="120" w:after="120" w:line="360" w:lineRule="auto"/>
        <w:ind w:right="0"/>
        <w:rPr>
          <w:sz w:val="20"/>
        </w:rPr>
      </w:pPr>
      <w:r w:rsidRPr="004579F1">
        <w:rPr>
          <w:sz w:val="20"/>
        </w:rPr>
        <w:t>Το</w:t>
      </w:r>
      <w:r w:rsidR="008C3B2D" w:rsidRPr="004579F1">
        <w:rPr>
          <w:sz w:val="20"/>
        </w:rPr>
        <w:t xml:space="preserve"> ποσοστό παραγωγής</w:t>
      </w:r>
      <w:r w:rsidRPr="004579F1">
        <w:rPr>
          <w:sz w:val="20"/>
        </w:rPr>
        <w:t xml:space="preserve"> λευκών προϊόντων</w:t>
      </w:r>
      <w:r w:rsidR="008C3B2D" w:rsidRPr="004579F1">
        <w:rPr>
          <w:sz w:val="20"/>
        </w:rPr>
        <w:t xml:space="preserve"> αν</w:t>
      </w:r>
      <w:r w:rsidRPr="004579F1">
        <w:rPr>
          <w:sz w:val="20"/>
        </w:rPr>
        <w:t>ήλθε</w:t>
      </w:r>
      <w:r w:rsidR="008C3B2D" w:rsidRPr="004579F1">
        <w:rPr>
          <w:sz w:val="20"/>
        </w:rPr>
        <w:t xml:space="preserve"> στο </w:t>
      </w:r>
      <w:r w:rsidR="00A60616">
        <w:rPr>
          <w:sz w:val="20"/>
        </w:rPr>
        <w:t>8</w:t>
      </w:r>
      <w:r w:rsidR="00F639FA">
        <w:rPr>
          <w:sz w:val="20"/>
        </w:rPr>
        <w:t>4</w:t>
      </w:r>
      <w:r w:rsidR="008C3B2D" w:rsidRPr="004579F1">
        <w:rPr>
          <w:sz w:val="20"/>
        </w:rPr>
        <w:t>%</w:t>
      </w:r>
      <w:r w:rsidR="00514E36" w:rsidRPr="009A069F">
        <w:rPr>
          <w:sz w:val="20"/>
        </w:rPr>
        <w:t>.</w:t>
      </w:r>
    </w:p>
    <w:p w:rsidR="007A0FF6" w:rsidRDefault="007A0FF6" w:rsidP="001E247E">
      <w:pPr>
        <w:spacing w:before="120" w:after="120" w:line="36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</w:p>
    <w:p w:rsidR="0002150A" w:rsidRDefault="0002150A" w:rsidP="0002150A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20EB2">
        <w:rPr>
          <w:rFonts w:ascii="Arial" w:hAnsi="Arial" w:cs="Arial"/>
          <w:b/>
          <w:sz w:val="20"/>
          <w:szCs w:val="20"/>
          <w:u w:val="single"/>
        </w:rPr>
        <w:t>ΠΕΤΡΟΧΗΜΙΚΑ</w:t>
      </w:r>
    </w:p>
    <w:p w:rsidR="0002150A" w:rsidRPr="00A20EB2" w:rsidRDefault="00BC1C21" w:rsidP="0002150A">
      <w:pPr>
        <w:pStyle w:val="BlockText"/>
        <w:numPr>
          <w:ilvl w:val="0"/>
          <w:numId w:val="4"/>
        </w:numPr>
        <w:snapToGrid w:val="0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Ο αυξημένος βαθμός καθετοποίησης της μονάδας παραγωγής </w:t>
      </w:r>
      <w:proofErr w:type="spellStart"/>
      <w:r>
        <w:rPr>
          <w:sz w:val="20"/>
          <w:szCs w:val="20"/>
        </w:rPr>
        <w:t>προ</w:t>
      </w:r>
      <w:r w:rsidR="00225D7A">
        <w:rPr>
          <w:sz w:val="20"/>
          <w:szCs w:val="20"/>
        </w:rPr>
        <w:t>πυ</w:t>
      </w:r>
      <w:r>
        <w:rPr>
          <w:sz w:val="20"/>
          <w:szCs w:val="20"/>
        </w:rPr>
        <w:t>λενίου</w:t>
      </w:r>
      <w:proofErr w:type="spellEnd"/>
      <w:r>
        <w:rPr>
          <w:sz w:val="20"/>
          <w:szCs w:val="20"/>
        </w:rPr>
        <w:t xml:space="preserve"> με το εργοστάσιο πετροχημικών στη Θεσσαλονίκη, καθώς και οι βελτιωμένες διεθνείς τιμές προϊόντων Ανατολικής Μεσογείου οδήγησαν</w:t>
      </w:r>
      <w:r w:rsidRPr="00BC1C21">
        <w:rPr>
          <w:sz w:val="20"/>
          <w:szCs w:val="20"/>
        </w:rPr>
        <w:t xml:space="preserve"> </w:t>
      </w:r>
      <w:r w:rsidRPr="00A20EB2">
        <w:rPr>
          <w:sz w:val="20"/>
          <w:szCs w:val="20"/>
        </w:rPr>
        <w:t xml:space="preserve">τα συγκρίσιμα </w:t>
      </w:r>
      <w:r w:rsidRPr="00A20EB2">
        <w:rPr>
          <w:sz w:val="20"/>
          <w:szCs w:val="20"/>
          <w:lang w:val="en-GB"/>
        </w:rPr>
        <w:t>EBITDA</w:t>
      </w:r>
      <w:r w:rsidRPr="00A20EB2">
        <w:rPr>
          <w:sz w:val="20"/>
          <w:szCs w:val="20"/>
        </w:rPr>
        <w:t xml:space="preserve"> στα €2</w:t>
      </w:r>
      <w:r>
        <w:rPr>
          <w:sz w:val="20"/>
          <w:szCs w:val="20"/>
        </w:rPr>
        <w:t>8</w:t>
      </w:r>
      <w:r w:rsidRPr="00A20EB2">
        <w:rPr>
          <w:sz w:val="20"/>
          <w:szCs w:val="20"/>
        </w:rPr>
        <w:t xml:space="preserve"> εκατ.</w:t>
      </w:r>
      <w:r>
        <w:rPr>
          <w:sz w:val="20"/>
          <w:szCs w:val="20"/>
        </w:rPr>
        <w:t>, την υψηλότερη τριμηνιαία επίδοση.</w:t>
      </w:r>
      <w:r w:rsidR="0002150A" w:rsidRPr="00A20EB2">
        <w:rPr>
          <w:sz w:val="20"/>
          <w:szCs w:val="20"/>
        </w:rPr>
        <w:t xml:space="preserve"> </w:t>
      </w:r>
    </w:p>
    <w:p w:rsidR="0002150A" w:rsidRPr="00FF21CE" w:rsidRDefault="0002150A" w:rsidP="001E247E">
      <w:pPr>
        <w:spacing w:before="120" w:after="120" w:line="36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</w:p>
    <w:p w:rsidR="00FF4338" w:rsidRDefault="00A7308A" w:rsidP="00A3467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1CE">
        <w:rPr>
          <w:rFonts w:ascii="Arial" w:hAnsi="Arial" w:cs="Arial"/>
          <w:b/>
          <w:sz w:val="20"/>
          <w:szCs w:val="20"/>
          <w:u w:val="single"/>
        </w:rPr>
        <w:t>ΕΜΠΟΡΙΑ</w:t>
      </w:r>
    </w:p>
    <w:p w:rsidR="0002150A" w:rsidRDefault="0002150A" w:rsidP="002C2AF9">
      <w:pPr>
        <w:pStyle w:val="BlockText"/>
        <w:numPr>
          <w:ilvl w:val="0"/>
          <w:numId w:val="3"/>
        </w:numPr>
        <w:snapToGrid w:val="0"/>
        <w:spacing w:before="120" w:after="120" w:line="360" w:lineRule="auto"/>
        <w:ind w:right="0"/>
        <w:rPr>
          <w:sz w:val="20"/>
        </w:rPr>
      </w:pPr>
      <w:r>
        <w:rPr>
          <w:sz w:val="20"/>
        </w:rPr>
        <w:t xml:space="preserve">Το Συγκρίσιμο </w:t>
      </w:r>
      <w:r>
        <w:rPr>
          <w:sz w:val="20"/>
          <w:lang w:val="en-US"/>
        </w:rPr>
        <w:t>EBITDA</w:t>
      </w:r>
      <w:r>
        <w:rPr>
          <w:sz w:val="20"/>
        </w:rPr>
        <w:t xml:space="preserve"> της Εμπορίας ανήλθε σε €</w:t>
      </w:r>
      <w:r w:rsidR="00225D7A">
        <w:rPr>
          <w:sz w:val="20"/>
        </w:rPr>
        <w:t>1</w:t>
      </w:r>
      <w:r w:rsidR="0033605D">
        <w:rPr>
          <w:sz w:val="20"/>
        </w:rPr>
        <w:t>4</w:t>
      </w:r>
      <w:r>
        <w:rPr>
          <w:sz w:val="20"/>
        </w:rPr>
        <w:t xml:space="preserve"> εκατ.</w:t>
      </w:r>
      <w:r w:rsidR="00225D7A">
        <w:rPr>
          <w:sz w:val="20"/>
        </w:rPr>
        <w:t>, αυξημένο κατά 17% σε σχέση με πέρυσι.</w:t>
      </w:r>
      <w:r>
        <w:rPr>
          <w:sz w:val="20"/>
        </w:rPr>
        <w:t xml:space="preserve"> </w:t>
      </w:r>
    </w:p>
    <w:p w:rsidR="0002150A" w:rsidRDefault="00225D7A" w:rsidP="0002150A">
      <w:pPr>
        <w:pStyle w:val="BlockText"/>
        <w:numPr>
          <w:ilvl w:val="0"/>
          <w:numId w:val="3"/>
        </w:numPr>
        <w:snapToGrid w:val="0"/>
        <w:spacing w:before="120" w:after="120" w:line="360" w:lineRule="auto"/>
        <w:ind w:right="0"/>
        <w:rPr>
          <w:sz w:val="20"/>
        </w:rPr>
      </w:pPr>
      <w:r>
        <w:rPr>
          <w:sz w:val="20"/>
        </w:rPr>
        <w:t>Σημαντική αύξηση όγκου πωλήσεων κατέγραψε η</w:t>
      </w:r>
      <w:r w:rsidR="00B67F2D">
        <w:rPr>
          <w:sz w:val="20"/>
        </w:rPr>
        <w:t xml:space="preserve"> Εγχώρια Εμπορία,</w:t>
      </w:r>
      <w:r>
        <w:rPr>
          <w:sz w:val="20"/>
        </w:rPr>
        <w:t xml:space="preserve"> σε όλους του κλάδους που δραστηριοποι</w:t>
      </w:r>
      <w:r w:rsidR="0031569A">
        <w:rPr>
          <w:sz w:val="20"/>
        </w:rPr>
        <w:t>είται,</w:t>
      </w:r>
      <w:r>
        <w:rPr>
          <w:sz w:val="20"/>
        </w:rPr>
        <w:t xml:space="preserve"> οδηγώντας</w:t>
      </w:r>
      <w:r w:rsidR="00B67F2D">
        <w:rPr>
          <w:sz w:val="20"/>
        </w:rPr>
        <w:t xml:space="preserve"> </w:t>
      </w:r>
      <w:r w:rsidR="0002150A">
        <w:rPr>
          <w:sz w:val="20"/>
        </w:rPr>
        <w:t xml:space="preserve">το Συγκρίσιμο </w:t>
      </w:r>
      <w:r w:rsidR="0002150A">
        <w:rPr>
          <w:sz w:val="20"/>
          <w:lang w:val="en-US"/>
        </w:rPr>
        <w:t>EBITDA</w:t>
      </w:r>
      <w:r w:rsidR="0002150A" w:rsidRPr="00CD6D74">
        <w:rPr>
          <w:sz w:val="20"/>
        </w:rPr>
        <w:t xml:space="preserve"> </w:t>
      </w:r>
      <w:r w:rsidR="0002150A">
        <w:rPr>
          <w:sz w:val="20"/>
        </w:rPr>
        <w:t>στ</w:t>
      </w:r>
      <w:r w:rsidR="00B67F2D">
        <w:rPr>
          <w:sz w:val="20"/>
        </w:rPr>
        <w:t>α</w:t>
      </w:r>
      <w:r w:rsidR="0002150A">
        <w:rPr>
          <w:sz w:val="20"/>
        </w:rPr>
        <w:t xml:space="preserve"> €</w:t>
      </w:r>
      <w:r>
        <w:rPr>
          <w:sz w:val="20"/>
        </w:rPr>
        <w:t>3</w:t>
      </w:r>
      <w:r w:rsidR="0002150A">
        <w:rPr>
          <w:sz w:val="20"/>
        </w:rPr>
        <w:t xml:space="preserve"> εκατ.</w:t>
      </w:r>
      <w:r>
        <w:rPr>
          <w:sz w:val="20"/>
        </w:rPr>
        <w:t xml:space="preserve"> έναντι €1 εκατ. το Α’ Τρίμηνο 2016.</w:t>
      </w:r>
    </w:p>
    <w:p w:rsidR="00F84555" w:rsidRPr="0002150A" w:rsidRDefault="0002150A" w:rsidP="0002150A">
      <w:pPr>
        <w:pStyle w:val="BlockText"/>
        <w:numPr>
          <w:ilvl w:val="0"/>
          <w:numId w:val="3"/>
        </w:numPr>
        <w:snapToGrid w:val="0"/>
        <w:spacing w:before="120" w:after="120" w:line="360" w:lineRule="auto"/>
        <w:ind w:right="0"/>
        <w:rPr>
          <w:sz w:val="20"/>
        </w:rPr>
      </w:pPr>
      <w:r>
        <w:rPr>
          <w:sz w:val="20"/>
        </w:rPr>
        <w:t>Η Διεθνής Εμπορία</w:t>
      </w:r>
      <w:r w:rsidR="00225D7A">
        <w:rPr>
          <w:sz w:val="20"/>
        </w:rPr>
        <w:t xml:space="preserve"> διατήρησε τη συνεισφορά της, με το Συγκρίσιμο </w:t>
      </w:r>
      <w:r w:rsidR="00225D7A">
        <w:rPr>
          <w:sz w:val="20"/>
          <w:lang w:val="en-US"/>
        </w:rPr>
        <w:t>EBITDA</w:t>
      </w:r>
      <w:r w:rsidR="00225D7A">
        <w:rPr>
          <w:sz w:val="20"/>
        </w:rPr>
        <w:t xml:space="preserve"> να διαμορφώνεται στα €10 εκατ.</w:t>
      </w:r>
    </w:p>
    <w:p w:rsidR="002267D1" w:rsidRPr="00EA77FC" w:rsidRDefault="002267D1" w:rsidP="00220C00">
      <w:pPr>
        <w:pStyle w:val="BlockText"/>
        <w:snapToGrid w:val="0"/>
        <w:spacing w:before="120" w:after="120" w:line="360" w:lineRule="auto"/>
        <w:ind w:left="0" w:firstLine="0"/>
        <w:rPr>
          <w:b/>
          <w:sz w:val="20"/>
          <w:szCs w:val="20"/>
          <w:highlight w:val="yellow"/>
          <w:u w:val="single"/>
        </w:rPr>
      </w:pPr>
    </w:p>
    <w:p w:rsidR="00A7308A" w:rsidRPr="00BE4EDA" w:rsidRDefault="00A7308A" w:rsidP="001E247E">
      <w:pPr>
        <w:pStyle w:val="BlockText"/>
        <w:snapToGrid w:val="0"/>
        <w:spacing w:before="120" w:after="120" w:line="360" w:lineRule="auto"/>
        <w:ind w:left="0" w:firstLine="0"/>
        <w:rPr>
          <w:b/>
          <w:sz w:val="20"/>
          <w:szCs w:val="20"/>
          <w:u w:val="single"/>
        </w:rPr>
      </w:pPr>
      <w:r w:rsidRPr="00BE4EDA">
        <w:rPr>
          <w:b/>
          <w:sz w:val="20"/>
          <w:szCs w:val="20"/>
          <w:u w:val="single"/>
        </w:rPr>
        <w:t>ΣΥΜΜΕΤΟΧΕΣ</w:t>
      </w:r>
    </w:p>
    <w:p w:rsidR="00FF4103" w:rsidRPr="00BE4EDA" w:rsidRDefault="00FF4103" w:rsidP="00FF4103">
      <w:pPr>
        <w:pStyle w:val="BlockText"/>
        <w:numPr>
          <w:ilvl w:val="0"/>
          <w:numId w:val="4"/>
        </w:numPr>
        <w:snapToGrid w:val="0"/>
        <w:spacing w:before="120" w:after="120" w:line="360" w:lineRule="auto"/>
        <w:ind w:right="0"/>
        <w:rPr>
          <w:sz w:val="20"/>
        </w:rPr>
      </w:pPr>
      <w:r w:rsidRPr="00BE4EDA">
        <w:rPr>
          <w:sz w:val="20"/>
        </w:rPr>
        <w:t xml:space="preserve">Η συνεισφορά της ΔΕΠΑ </w:t>
      </w:r>
      <w:r w:rsidR="00961E6F" w:rsidRPr="00BE4EDA">
        <w:rPr>
          <w:sz w:val="20"/>
        </w:rPr>
        <w:t>και των θυγατρικών της εταιρ</w:t>
      </w:r>
      <w:r w:rsidR="000D4615" w:rsidRPr="00BE4EDA">
        <w:rPr>
          <w:sz w:val="20"/>
        </w:rPr>
        <w:t>ε</w:t>
      </w:r>
      <w:r w:rsidR="00961E6F" w:rsidRPr="00BE4EDA">
        <w:rPr>
          <w:sz w:val="20"/>
        </w:rPr>
        <w:t xml:space="preserve">ιών </w:t>
      </w:r>
      <w:r w:rsidRPr="00BE4EDA">
        <w:rPr>
          <w:sz w:val="20"/>
        </w:rPr>
        <w:t>στα</w:t>
      </w:r>
      <w:r w:rsidR="000D4615" w:rsidRPr="00BE4EDA">
        <w:rPr>
          <w:sz w:val="20"/>
        </w:rPr>
        <w:t xml:space="preserve"> </w:t>
      </w:r>
      <w:r w:rsidR="00570D0E" w:rsidRPr="00BE4EDA">
        <w:rPr>
          <w:sz w:val="20"/>
        </w:rPr>
        <w:t>ενοποιημένα</w:t>
      </w:r>
      <w:r w:rsidR="009F19AB" w:rsidRPr="00BE4EDA">
        <w:rPr>
          <w:sz w:val="20"/>
        </w:rPr>
        <w:t xml:space="preserve"> Καθαρά Κέρδη </w:t>
      </w:r>
      <w:r w:rsidRPr="00BE4EDA">
        <w:rPr>
          <w:sz w:val="20"/>
        </w:rPr>
        <w:t>του Ομίλου</w:t>
      </w:r>
      <w:r w:rsidR="00D8440B">
        <w:rPr>
          <w:sz w:val="20"/>
        </w:rPr>
        <w:t xml:space="preserve"> </w:t>
      </w:r>
      <w:r w:rsidRPr="00BE4EDA">
        <w:rPr>
          <w:sz w:val="20"/>
        </w:rPr>
        <w:t>ανήλθε στα €</w:t>
      </w:r>
      <w:r w:rsidR="00D679C4">
        <w:rPr>
          <w:sz w:val="20"/>
        </w:rPr>
        <w:t>27</w:t>
      </w:r>
      <w:r w:rsidRPr="00BE4EDA">
        <w:rPr>
          <w:sz w:val="20"/>
        </w:rPr>
        <w:t xml:space="preserve"> </w:t>
      </w:r>
      <w:r w:rsidR="00A272F1" w:rsidRPr="00BE4EDA">
        <w:rPr>
          <w:sz w:val="20"/>
        </w:rPr>
        <w:t>εκατ.</w:t>
      </w:r>
      <w:r w:rsidR="00A3467B" w:rsidRPr="00BE4EDA">
        <w:rPr>
          <w:sz w:val="20"/>
        </w:rPr>
        <w:t>,</w:t>
      </w:r>
      <w:r w:rsidR="000B754D" w:rsidRPr="00BE4EDA">
        <w:rPr>
          <w:sz w:val="20"/>
        </w:rPr>
        <w:t xml:space="preserve"> </w:t>
      </w:r>
      <w:r w:rsidR="0033605D">
        <w:rPr>
          <w:sz w:val="20"/>
        </w:rPr>
        <w:t xml:space="preserve">καθώς αυξήθηκε σημαντικά η ζήτηση </w:t>
      </w:r>
      <w:r w:rsidR="00D241CA">
        <w:rPr>
          <w:sz w:val="20"/>
        </w:rPr>
        <w:t xml:space="preserve">φυσικού αερίου </w:t>
      </w:r>
      <w:r w:rsidR="00504F9A">
        <w:rPr>
          <w:sz w:val="20"/>
        </w:rPr>
        <w:t>από</w:t>
      </w:r>
      <w:r w:rsidR="00D241CA">
        <w:rPr>
          <w:sz w:val="20"/>
        </w:rPr>
        <w:t xml:space="preserve"> τις μονάδες παραγωγής ηλεκτρισμού και τους υπόλοιπους</w:t>
      </w:r>
      <w:r w:rsidR="00504F9A">
        <w:rPr>
          <w:sz w:val="20"/>
        </w:rPr>
        <w:t xml:space="preserve"> </w:t>
      </w:r>
      <w:r w:rsidR="00D679C4">
        <w:rPr>
          <w:sz w:val="20"/>
        </w:rPr>
        <w:t>κλάδους.</w:t>
      </w:r>
    </w:p>
    <w:p w:rsidR="00A7308A" w:rsidRPr="003315F0" w:rsidRDefault="00D241CA" w:rsidP="001E247E">
      <w:pPr>
        <w:pStyle w:val="BlockText"/>
        <w:numPr>
          <w:ilvl w:val="0"/>
          <w:numId w:val="4"/>
        </w:numPr>
        <w:snapToGrid w:val="0"/>
        <w:spacing w:before="120" w:after="120" w:line="360" w:lineRule="auto"/>
        <w:ind w:right="0"/>
        <w:rPr>
          <w:b/>
          <w:bCs/>
          <w:sz w:val="20"/>
          <w:szCs w:val="20"/>
        </w:rPr>
      </w:pPr>
      <w:r>
        <w:rPr>
          <w:sz w:val="20"/>
        </w:rPr>
        <w:t>Αντίστοιχα, τ</w:t>
      </w:r>
      <w:r w:rsidRPr="00BE4EDA">
        <w:rPr>
          <w:sz w:val="20"/>
        </w:rPr>
        <w:t xml:space="preserve">α </w:t>
      </w:r>
      <w:r w:rsidR="008305BA" w:rsidRPr="00BE4EDA">
        <w:rPr>
          <w:sz w:val="20"/>
          <w:lang w:val="en-GB"/>
        </w:rPr>
        <w:t>EBITDA</w:t>
      </w:r>
      <w:r w:rsidR="008305BA" w:rsidRPr="00BE4EDA">
        <w:rPr>
          <w:sz w:val="20"/>
        </w:rPr>
        <w:t xml:space="preserve"> της </w:t>
      </w:r>
      <w:proofErr w:type="spellStart"/>
      <w:r w:rsidR="008305BA" w:rsidRPr="00BE4EDA">
        <w:rPr>
          <w:sz w:val="20"/>
          <w:lang w:val="en-GB"/>
        </w:rPr>
        <w:t>Elpedison</w:t>
      </w:r>
      <w:proofErr w:type="spellEnd"/>
      <w:r w:rsidR="008305BA" w:rsidRPr="00BE4EDA">
        <w:rPr>
          <w:sz w:val="20"/>
        </w:rPr>
        <w:t xml:space="preserve"> διαμορφώθηκαν στα €</w:t>
      </w:r>
      <w:r w:rsidR="0033605D">
        <w:rPr>
          <w:sz w:val="20"/>
        </w:rPr>
        <w:t>1</w:t>
      </w:r>
      <w:r w:rsidR="00D679C4">
        <w:rPr>
          <w:sz w:val="20"/>
        </w:rPr>
        <w:t>5</w:t>
      </w:r>
      <w:r w:rsidR="008305BA" w:rsidRPr="00BE4EDA">
        <w:rPr>
          <w:sz w:val="20"/>
        </w:rPr>
        <w:t xml:space="preserve"> </w:t>
      </w:r>
      <w:r w:rsidR="00A272F1" w:rsidRPr="00BE4EDA">
        <w:rPr>
          <w:sz w:val="20"/>
        </w:rPr>
        <w:t>εκατ.</w:t>
      </w:r>
      <w:r w:rsidR="00AB0660" w:rsidRPr="00BE4EDA">
        <w:rPr>
          <w:sz w:val="20"/>
        </w:rPr>
        <w:t xml:space="preserve">, λόγω </w:t>
      </w:r>
      <w:r w:rsidR="00262B27" w:rsidRPr="00BE4EDA">
        <w:rPr>
          <w:sz w:val="20"/>
        </w:rPr>
        <w:t>α</w:t>
      </w:r>
      <w:r w:rsidR="000B754D" w:rsidRPr="00BE4EDA">
        <w:rPr>
          <w:sz w:val="20"/>
        </w:rPr>
        <w:t>υ</w:t>
      </w:r>
      <w:r w:rsidR="00262B27" w:rsidRPr="00BE4EDA">
        <w:rPr>
          <w:sz w:val="20"/>
        </w:rPr>
        <w:t>ξη</w:t>
      </w:r>
      <w:r w:rsidR="000B754D" w:rsidRPr="00BE4EDA">
        <w:rPr>
          <w:sz w:val="20"/>
        </w:rPr>
        <w:t>μένης</w:t>
      </w:r>
      <w:r w:rsidR="00D679C4">
        <w:rPr>
          <w:sz w:val="20"/>
        </w:rPr>
        <w:t xml:space="preserve"> ζήτησης, </w:t>
      </w:r>
      <w:r>
        <w:rPr>
          <w:sz w:val="20"/>
        </w:rPr>
        <w:t xml:space="preserve">μεγαλύτερης συμμετοχής των μονάδων φυσικού αερίου </w:t>
      </w:r>
      <w:r w:rsidR="00D679C4">
        <w:rPr>
          <w:sz w:val="20"/>
        </w:rPr>
        <w:t xml:space="preserve">στην εγχώρια </w:t>
      </w:r>
      <w:r>
        <w:rPr>
          <w:sz w:val="20"/>
        </w:rPr>
        <w:t>αγορά</w:t>
      </w:r>
      <w:r w:rsidR="00504F9A">
        <w:rPr>
          <w:sz w:val="20"/>
        </w:rPr>
        <w:t>,</w:t>
      </w:r>
      <w:r>
        <w:rPr>
          <w:sz w:val="20"/>
        </w:rPr>
        <w:t xml:space="preserve"> αλλά και των προβλημάτων που σημειώθηκαν στην αρχή του χρόνου στις Ευρωπαϊκές διασυνδεδεμένες αγορές</w:t>
      </w:r>
      <w:r w:rsidR="00D679C4">
        <w:rPr>
          <w:sz w:val="20"/>
        </w:rPr>
        <w:t>.</w:t>
      </w:r>
      <w:r w:rsidR="0033605D">
        <w:rPr>
          <w:sz w:val="20"/>
        </w:rPr>
        <w:t xml:space="preserve"> </w:t>
      </w:r>
    </w:p>
    <w:p w:rsidR="00793F7A" w:rsidRDefault="00793F7A" w:rsidP="003315F0">
      <w:pPr>
        <w:pStyle w:val="BlockText"/>
        <w:snapToGrid w:val="0"/>
        <w:spacing w:before="120" w:after="120" w:line="360" w:lineRule="auto"/>
        <w:ind w:right="0"/>
        <w:rPr>
          <w:sz w:val="20"/>
        </w:rPr>
      </w:pPr>
    </w:p>
    <w:p w:rsidR="00793F7A" w:rsidRDefault="00793F7A" w:rsidP="003315F0">
      <w:pPr>
        <w:pStyle w:val="BlockText"/>
        <w:snapToGrid w:val="0"/>
        <w:spacing w:before="120" w:after="120" w:line="360" w:lineRule="auto"/>
        <w:ind w:right="0"/>
        <w:rPr>
          <w:sz w:val="20"/>
        </w:rPr>
      </w:pPr>
    </w:p>
    <w:p w:rsidR="00793F7A" w:rsidRDefault="00793F7A" w:rsidP="003315F0">
      <w:pPr>
        <w:pStyle w:val="BlockText"/>
        <w:snapToGrid w:val="0"/>
        <w:spacing w:before="120" w:after="120" w:line="360" w:lineRule="auto"/>
        <w:ind w:right="0"/>
        <w:rPr>
          <w:sz w:val="20"/>
        </w:rPr>
      </w:pPr>
    </w:p>
    <w:p w:rsidR="00793F7A" w:rsidRDefault="00793F7A" w:rsidP="003315F0">
      <w:pPr>
        <w:pStyle w:val="BlockText"/>
        <w:snapToGrid w:val="0"/>
        <w:spacing w:before="120" w:after="120" w:line="360" w:lineRule="auto"/>
        <w:ind w:right="0"/>
        <w:rPr>
          <w:sz w:val="20"/>
        </w:rPr>
      </w:pPr>
    </w:p>
    <w:p w:rsidR="00D679C4" w:rsidRDefault="00D679C4" w:rsidP="003315F0">
      <w:pPr>
        <w:pStyle w:val="BlockText"/>
        <w:snapToGrid w:val="0"/>
        <w:spacing w:before="120" w:after="120" w:line="360" w:lineRule="auto"/>
        <w:ind w:right="0"/>
        <w:rPr>
          <w:sz w:val="20"/>
        </w:rPr>
      </w:pPr>
    </w:p>
    <w:p w:rsidR="00A7308A" w:rsidRPr="00EA77FC" w:rsidRDefault="00A7308A" w:rsidP="001E1D5F">
      <w:pPr>
        <w:pStyle w:val="BlockText"/>
        <w:snapToGrid w:val="0"/>
        <w:spacing w:before="120" w:after="120" w:line="360" w:lineRule="auto"/>
        <w:ind w:left="0" w:right="0" w:firstLine="0"/>
        <w:jc w:val="center"/>
        <w:rPr>
          <w:sz w:val="20"/>
          <w:szCs w:val="20"/>
        </w:rPr>
      </w:pPr>
      <w:r w:rsidRPr="00EA77FC">
        <w:rPr>
          <w:b/>
          <w:bCs/>
          <w:sz w:val="20"/>
          <w:szCs w:val="20"/>
        </w:rPr>
        <w:lastRenderedPageBreak/>
        <w:t>ΟΜΙΛΟΣ ΕΛΛΗΝΙΚΑ ΠΕΤΡΕΛΑΙΑ</w:t>
      </w:r>
    </w:p>
    <w:p w:rsidR="00A7308A" w:rsidRPr="00EA77FC" w:rsidRDefault="00A7308A" w:rsidP="00D15C0A">
      <w:pPr>
        <w:pStyle w:val="BodyTextInden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A77FC">
        <w:rPr>
          <w:rFonts w:ascii="Arial" w:hAnsi="Arial" w:cs="Arial"/>
          <w:b/>
          <w:bCs/>
          <w:sz w:val="20"/>
          <w:szCs w:val="20"/>
        </w:rPr>
        <w:t xml:space="preserve">ΒΑΣΙΚΑ ΜΕΓΕΘΗ ΕΝΟΠΟΙΗΜΕΝΩΝ ΑΠΟΤΕΛΕΣΜΑΤΩΝ ΧΡΗΣΗΣ </w:t>
      </w:r>
      <w:r w:rsidR="00665344">
        <w:rPr>
          <w:rFonts w:ascii="Arial" w:hAnsi="Arial" w:cs="Arial"/>
          <w:b/>
          <w:bCs/>
          <w:sz w:val="20"/>
          <w:szCs w:val="20"/>
        </w:rPr>
        <w:t>Α</w:t>
      </w:r>
      <w:r w:rsidRPr="00EA77FC">
        <w:rPr>
          <w:rFonts w:ascii="Arial" w:hAnsi="Arial" w:cs="Arial"/>
          <w:b/>
          <w:bCs/>
          <w:sz w:val="20"/>
          <w:szCs w:val="20"/>
        </w:rPr>
        <w:t>’ ΤΡΙΜΗΝΟΥ</w:t>
      </w:r>
      <w:r w:rsidR="00697AAC" w:rsidRPr="00697AAC">
        <w:rPr>
          <w:rFonts w:ascii="Arial" w:hAnsi="Arial" w:cs="Arial"/>
          <w:b/>
          <w:bCs/>
          <w:sz w:val="20"/>
          <w:szCs w:val="20"/>
        </w:rPr>
        <w:t xml:space="preserve"> </w:t>
      </w:r>
      <w:r w:rsidR="003B7A3C" w:rsidRPr="00EA77FC">
        <w:rPr>
          <w:rFonts w:ascii="Arial" w:hAnsi="Arial" w:cs="Arial"/>
          <w:b/>
          <w:bCs/>
          <w:sz w:val="20"/>
          <w:szCs w:val="20"/>
        </w:rPr>
        <w:t>201</w:t>
      </w:r>
      <w:r w:rsidR="00665344">
        <w:rPr>
          <w:rFonts w:ascii="Arial" w:hAnsi="Arial" w:cs="Arial"/>
          <w:b/>
          <w:bCs/>
          <w:sz w:val="20"/>
          <w:szCs w:val="20"/>
        </w:rPr>
        <w:t>7</w:t>
      </w:r>
    </w:p>
    <w:p w:rsidR="00A7308A" w:rsidRPr="00EA77FC" w:rsidRDefault="00A7308A" w:rsidP="00D15C0A">
      <w:pPr>
        <w:pStyle w:val="BodyTextIndent"/>
        <w:spacing w:before="120" w:beforeAutospacing="0" w:after="120" w:afterAutospacing="0"/>
        <w:jc w:val="center"/>
        <w:rPr>
          <w:rFonts w:ascii="Arial" w:hAnsi="Arial" w:cs="Arial"/>
          <w:sz w:val="18"/>
          <w:szCs w:val="18"/>
        </w:rPr>
      </w:pPr>
      <w:r w:rsidRPr="00EA77FC">
        <w:rPr>
          <w:rFonts w:ascii="Arial" w:hAnsi="Arial" w:cs="Arial"/>
          <w:b/>
          <w:bCs/>
          <w:sz w:val="18"/>
          <w:szCs w:val="18"/>
        </w:rPr>
        <w:t>(σύμφωνα με τα Διεθνή Πρότυπα Χρηματοοικονομικής Πληροφόρησης)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317"/>
        <w:gridCol w:w="519"/>
        <w:gridCol w:w="709"/>
        <w:gridCol w:w="243"/>
        <w:gridCol w:w="1600"/>
        <w:gridCol w:w="1541"/>
        <w:gridCol w:w="1073"/>
      </w:tblGrid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EA77FC">
              <w:rPr>
                <w:rFonts w:ascii="Arial" w:hAnsi="Arial" w:cs="Arial"/>
                <w:i/>
                <w:iCs/>
                <w:sz w:val="20"/>
                <w:szCs w:val="20"/>
              </w:rPr>
              <w:t>€ εκατ.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35643D">
            <w:pPr>
              <w:tabs>
                <w:tab w:val="left" w:pos="1"/>
                <w:tab w:val="left" w:pos="813"/>
              </w:tabs>
              <w:ind w:left="-17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35643D">
            <w:pPr>
              <w:tabs>
                <w:tab w:val="left" w:pos="1"/>
                <w:tab w:val="left" w:pos="813"/>
              </w:tabs>
              <w:ind w:left="-17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ind w:left="-5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7F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Α’ Τρίμηνο 201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65344" w:rsidP="00665344">
            <w:pPr>
              <w:tabs>
                <w:tab w:val="left" w:pos="1"/>
                <w:tab w:val="left" w:pos="813"/>
              </w:tabs>
              <w:ind w:left="-17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7F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Α’ Τρίμηνο 201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EA77FC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% Δ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4713" w:type="dxa"/>
            <w:gridSpan w:val="2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Cs/>
                <w:lang w:val="en-GB"/>
              </w:rPr>
            </w:pPr>
            <w:r w:rsidRPr="00EA77FC">
              <w:rPr>
                <w:rFonts w:ascii="Arial" w:hAnsi="Arial" w:cs="Arial"/>
                <w:b/>
                <w:bCs/>
                <w:sz w:val="20"/>
                <w:szCs w:val="20"/>
              </w:rPr>
              <w:t>Κύρια Αποτελέσματα Χρήσης</w:t>
            </w:r>
          </w:p>
        </w:tc>
        <w:tc>
          <w:tcPr>
            <w:tcW w:w="519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243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600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541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73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 xml:space="preserve">Όγκοι πωλήσεων Διύλισης </w:t>
            </w:r>
            <w:r w:rsidRPr="00EA77FC">
              <w:rPr>
                <w:rFonts w:ascii="Arial" w:hAnsi="Arial" w:cs="Arial"/>
                <w:sz w:val="18"/>
                <w:szCs w:val="20"/>
              </w:rPr>
              <w:t>(χιλ. ΜΤ)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3.443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16</w:t>
            </w:r>
            <w:r w:rsidRPr="00EA77F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%</w:t>
            </w:r>
          </w:p>
        </w:tc>
      </w:tr>
      <w:tr w:rsidR="00665344" w:rsidRPr="00D241CA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CF6EAA" w:rsidRDefault="00665344" w:rsidP="006653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6EAA">
              <w:rPr>
                <w:rFonts w:ascii="Arial" w:hAnsi="Arial" w:cs="Arial"/>
                <w:b/>
                <w:sz w:val="20"/>
                <w:szCs w:val="20"/>
              </w:rPr>
              <w:t>Πωλήσεις</w:t>
            </w:r>
            <w:r w:rsidRPr="00CF6EA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F6EAA">
              <w:rPr>
                <w:rFonts w:ascii="Arial" w:hAnsi="Arial" w:cs="Arial"/>
                <w:b/>
                <w:sz w:val="20"/>
              </w:rPr>
              <w:t>1.247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CF6EAA" w:rsidRDefault="00665344" w:rsidP="006E0493">
            <w:pPr>
              <w:spacing w:before="60"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F6EAA">
              <w:rPr>
                <w:rFonts w:ascii="Arial" w:hAnsi="Arial" w:cs="Arial"/>
                <w:b/>
                <w:sz w:val="20"/>
              </w:rPr>
              <w:t>2.0</w:t>
            </w:r>
            <w:r w:rsidR="006E0493" w:rsidRPr="00CF6EAA">
              <w:rPr>
                <w:rFonts w:ascii="Arial" w:hAnsi="Arial" w:cs="Arial"/>
                <w:b/>
                <w:sz w:val="20"/>
              </w:rPr>
              <w:t>78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CF6EAA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CF6EAA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67%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>EBITDA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E0493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504F9A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+75</w:t>
            </w:r>
            <w:r w:rsidR="00665344" w:rsidRPr="00EA77F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7FC">
              <w:rPr>
                <w:rFonts w:ascii="Arial" w:hAnsi="Arial" w:cs="Arial"/>
                <w:b/>
                <w:sz w:val="20"/>
                <w:szCs w:val="20"/>
              </w:rPr>
              <w:t xml:space="preserve">Συγκρίσιμα EBITDA </w:t>
            </w:r>
            <w:r w:rsidRPr="00EA77F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169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229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  <w:r w:rsidRPr="00EA77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>Καθαρά Κέρδη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E0493" w:rsidP="00504F9A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504F9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5342C2" w:rsidRDefault="00504F9A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-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7FC">
              <w:rPr>
                <w:rFonts w:ascii="Arial" w:hAnsi="Arial" w:cs="Arial"/>
                <w:b/>
                <w:sz w:val="20"/>
                <w:szCs w:val="20"/>
              </w:rPr>
              <w:t xml:space="preserve">Συγκρίσιμα Καθαρά Κέρδη </w:t>
            </w:r>
            <w:r w:rsidRPr="00EA77F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9A069F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70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9A069F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12</w:t>
            </w:r>
            <w:r w:rsidR="00504F9A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504F9A" w:rsidP="006E0493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</w:t>
            </w:r>
            <w:r w:rsidR="006653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7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Κύρια Στοιχεία Ισολογισμού 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20"/>
                <w:lang w:val="en-GB"/>
              </w:rPr>
            </w:pPr>
          </w:p>
        </w:tc>
        <w:tc>
          <w:tcPr>
            <w:tcW w:w="243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3" w:type="dxa"/>
            <w:shd w:val="clear" w:color="auto" w:fill="E0E0E0"/>
            <w:vAlign w:val="center"/>
          </w:tcPr>
          <w:p w:rsidR="00665344" w:rsidRPr="00EA77FC" w:rsidRDefault="00665344" w:rsidP="0035643D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20"/>
                <w:lang w:val="en-GB"/>
              </w:rPr>
            </w:pP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>Απασχολούμενα Κεφάλαια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4.321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E0493" w:rsidP="00504F9A">
            <w:pPr>
              <w:spacing w:before="60"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4.03</w:t>
            </w:r>
            <w:r w:rsidR="00504F9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504F9A" w:rsidP="00665344">
            <w:pPr>
              <w:spacing w:before="60" w:line="36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-7</w:t>
            </w:r>
            <w:r w:rsidR="00665344" w:rsidRPr="00EA77FC">
              <w:rPr>
                <w:rFonts w:ascii="Arial" w:hAnsi="Arial" w:cs="Arial"/>
                <w:i/>
                <w:sz w:val="20"/>
              </w:rPr>
              <w:t>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>Καθαρός Δανεισμός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2.504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1.783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504F9A" w:rsidP="00665344">
            <w:pPr>
              <w:spacing w:before="60" w:line="36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-29</w:t>
            </w:r>
            <w:r w:rsidR="00665344" w:rsidRPr="00EA77FC">
              <w:rPr>
                <w:rFonts w:ascii="Arial" w:hAnsi="Arial" w:cs="Arial"/>
                <w:i/>
                <w:sz w:val="20"/>
              </w:rPr>
              <w:t>%</w:t>
            </w:r>
          </w:p>
        </w:tc>
      </w:tr>
      <w:tr w:rsidR="00665344" w:rsidRPr="00EA77FC" w:rsidTr="0035643D">
        <w:trPr>
          <w:trHeight w:val="45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665344" w:rsidRPr="00EA77FC" w:rsidRDefault="00665344" w:rsidP="00665344">
            <w:pPr>
              <w:rPr>
                <w:rFonts w:ascii="Arial" w:hAnsi="Arial" w:cs="Arial"/>
                <w:sz w:val="20"/>
                <w:szCs w:val="20"/>
              </w:rPr>
            </w:pPr>
            <w:r w:rsidRPr="00EA77FC">
              <w:rPr>
                <w:rFonts w:ascii="Arial" w:hAnsi="Arial" w:cs="Arial"/>
                <w:sz w:val="20"/>
                <w:szCs w:val="20"/>
              </w:rPr>
              <w:t xml:space="preserve">Δανειακή </w:t>
            </w:r>
            <w:proofErr w:type="spellStart"/>
            <w:r w:rsidRPr="00EA77FC">
              <w:rPr>
                <w:rFonts w:ascii="Arial" w:hAnsi="Arial" w:cs="Arial"/>
                <w:sz w:val="20"/>
                <w:szCs w:val="20"/>
              </w:rPr>
              <w:t>Μόχλευση</w:t>
            </w:r>
            <w:proofErr w:type="spellEnd"/>
            <w:r w:rsidRPr="00EA77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58%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65344" w:rsidRPr="00EA77FC" w:rsidRDefault="00665344" w:rsidP="00665344">
            <w:pPr>
              <w:spacing w:before="6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65344" w:rsidRPr="00EA77FC" w:rsidRDefault="00665344" w:rsidP="00665344">
            <w:pPr>
              <w:jc w:val="right"/>
              <w:rPr>
                <w:rFonts w:ascii="Arial" w:hAnsi="Arial" w:cs="Arial"/>
                <w:sz w:val="20"/>
              </w:rPr>
            </w:pPr>
            <w:r w:rsidRPr="00EA77FC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A7308A" w:rsidRPr="00EA77FC" w:rsidRDefault="00A7308A" w:rsidP="001E247E">
      <w:pPr>
        <w:spacing w:before="120" w:after="120" w:line="360" w:lineRule="auto"/>
        <w:ind w:right="187"/>
        <w:rPr>
          <w:rFonts w:ascii="Arial" w:hAnsi="Arial" w:cs="Arial"/>
          <w:i/>
          <w:iCs/>
          <w:sz w:val="16"/>
          <w:szCs w:val="16"/>
        </w:rPr>
      </w:pPr>
      <w:r w:rsidRPr="00EA77FC">
        <w:rPr>
          <w:rFonts w:ascii="Arial" w:hAnsi="Arial" w:cs="Arial"/>
          <w:i/>
          <w:iCs/>
          <w:sz w:val="16"/>
          <w:szCs w:val="16"/>
        </w:rPr>
        <w:t xml:space="preserve">Σημείωση </w:t>
      </w:r>
      <w:r w:rsidR="009C4815" w:rsidRPr="00EA77FC">
        <w:rPr>
          <w:rFonts w:ascii="Arial" w:hAnsi="Arial" w:cs="Arial"/>
          <w:i/>
          <w:iCs/>
          <w:sz w:val="16"/>
          <w:szCs w:val="16"/>
        </w:rPr>
        <w:t>1</w:t>
      </w:r>
      <w:r w:rsidRPr="00EA77FC">
        <w:rPr>
          <w:rFonts w:ascii="Arial" w:hAnsi="Arial" w:cs="Arial"/>
          <w:i/>
          <w:iCs/>
          <w:sz w:val="16"/>
          <w:szCs w:val="16"/>
        </w:rPr>
        <w:t>: Αναπροσαρμοσμένα για τις επιπτώσεις από την αποτίμηση των αποθεμάτων καθώς και μη λειτουργικών κερ</w:t>
      </w:r>
      <w:r w:rsidR="009D1B86" w:rsidRPr="00EA77FC">
        <w:rPr>
          <w:rFonts w:ascii="Arial" w:hAnsi="Arial" w:cs="Arial"/>
          <w:i/>
          <w:iCs/>
          <w:sz w:val="16"/>
          <w:szCs w:val="16"/>
        </w:rPr>
        <w:t>δών/εξόδων</w:t>
      </w:r>
    </w:p>
    <w:p w:rsidR="0075146B" w:rsidRPr="00EA77FC" w:rsidRDefault="0075146B" w:rsidP="00D15C0A">
      <w:pPr>
        <w:spacing w:line="360" w:lineRule="auto"/>
        <w:outlineLvl w:val="0"/>
        <w:rPr>
          <w:rFonts w:ascii="Arial" w:hAnsi="Arial" w:cs="Arial"/>
          <w:b/>
          <w:bCs/>
          <w:sz w:val="20"/>
          <w:szCs w:val="18"/>
        </w:rPr>
      </w:pPr>
    </w:p>
    <w:p w:rsidR="003D57A9" w:rsidRPr="00EA77FC" w:rsidRDefault="003D57A9" w:rsidP="00D15C0A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18"/>
        </w:rPr>
      </w:pPr>
    </w:p>
    <w:p w:rsidR="004D5A34" w:rsidRPr="00EA77FC" w:rsidRDefault="004D5A34" w:rsidP="00D15C0A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18"/>
        </w:rPr>
      </w:pPr>
      <w:r w:rsidRPr="00EA77FC">
        <w:rPr>
          <w:rFonts w:ascii="Arial" w:hAnsi="Arial" w:cs="Arial"/>
          <w:b/>
          <w:bCs/>
          <w:sz w:val="20"/>
          <w:szCs w:val="18"/>
        </w:rPr>
        <w:t>Περισσότερες πληροφορίες:</w:t>
      </w:r>
    </w:p>
    <w:p w:rsidR="004D5A34" w:rsidRPr="00EA77FC" w:rsidRDefault="004D5A34" w:rsidP="00D15C0A">
      <w:pPr>
        <w:spacing w:line="360" w:lineRule="auto"/>
        <w:rPr>
          <w:rFonts w:ascii="Arial" w:hAnsi="Arial" w:cs="Arial"/>
          <w:sz w:val="20"/>
          <w:szCs w:val="18"/>
        </w:rPr>
      </w:pPr>
      <w:r w:rsidRPr="00EA77FC">
        <w:rPr>
          <w:rFonts w:ascii="Arial" w:hAnsi="Arial" w:cs="Arial"/>
          <w:sz w:val="20"/>
          <w:szCs w:val="18"/>
        </w:rPr>
        <w:t xml:space="preserve">Β. </w:t>
      </w:r>
      <w:proofErr w:type="spellStart"/>
      <w:r w:rsidRPr="00EA77FC">
        <w:rPr>
          <w:rFonts w:ascii="Arial" w:hAnsi="Arial" w:cs="Arial"/>
          <w:sz w:val="20"/>
          <w:szCs w:val="18"/>
        </w:rPr>
        <w:t>Τσάιτας</w:t>
      </w:r>
      <w:proofErr w:type="spellEnd"/>
      <w:r w:rsidRPr="00EA77FC">
        <w:rPr>
          <w:rFonts w:ascii="Arial" w:hAnsi="Arial" w:cs="Arial"/>
          <w:sz w:val="20"/>
          <w:szCs w:val="18"/>
        </w:rPr>
        <w:t>, Διευθυντής Σχέσεων με Επενδυτές</w:t>
      </w:r>
    </w:p>
    <w:p w:rsidR="004D5A34" w:rsidRPr="00EA77FC" w:rsidRDefault="004D5A34" w:rsidP="00D15C0A">
      <w:pPr>
        <w:pStyle w:val="BlockText"/>
        <w:snapToGrid w:val="0"/>
        <w:spacing w:line="360" w:lineRule="auto"/>
        <w:ind w:left="0" w:right="0" w:firstLine="0"/>
        <w:rPr>
          <w:rFonts w:eastAsia="MS Mincho"/>
          <w:sz w:val="20"/>
          <w:szCs w:val="18"/>
        </w:rPr>
      </w:pPr>
      <w:proofErr w:type="spellStart"/>
      <w:r w:rsidRPr="00EA77FC">
        <w:rPr>
          <w:rFonts w:eastAsia="MS Mincho"/>
          <w:sz w:val="20"/>
          <w:szCs w:val="18"/>
        </w:rPr>
        <w:t>Τηλ</w:t>
      </w:r>
      <w:proofErr w:type="spellEnd"/>
      <w:r w:rsidRPr="00EA77FC">
        <w:rPr>
          <w:rFonts w:eastAsia="MS Mincho"/>
          <w:sz w:val="20"/>
          <w:szCs w:val="18"/>
        </w:rPr>
        <w:t xml:space="preserve">.: </w:t>
      </w:r>
      <w:r w:rsidRPr="00EA77FC">
        <w:rPr>
          <w:rFonts w:eastAsia="MS Mincho"/>
          <w:sz w:val="20"/>
          <w:szCs w:val="18"/>
        </w:rPr>
        <w:tab/>
        <w:t>210-6302399</w:t>
      </w:r>
    </w:p>
    <w:p w:rsidR="004D5A34" w:rsidRDefault="004D5A34" w:rsidP="00D15C0A">
      <w:pPr>
        <w:pStyle w:val="BlockText"/>
        <w:tabs>
          <w:tab w:val="left" w:pos="720"/>
          <w:tab w:val="left" w:pos="1440"/>
          <w:tab w:val="left" w:pos="2160"/>
          <w:tab w:val="left" w:pos="6030"/>
        </w:tabs>
        <w:snapToGrid w:val="0"/>
        <w:spacing w:line="360" w:lineRule="auto"/>
        <w:ind w:left="0" w:right="0" w:firstLine="0"/>
        <w:rPr>
          <w:rFonts w:eastAsia="MS Mincho"/>
          <w:sz w:val="16"/>
          <w:szCs w:val="18"/>
        </w:rPr>
      </w:pPr>
      <w:r w:rsidRPr="00EA77FC">
        <w:rPr>
          <w:rFonts w:eastAsia="MS Mincho"/>
          <w:sz w:val="20"/>
          <w:szCs w:val="18"/>
          <w:lang w:val="en-US"/>
        </w:rPr>
        <w:t>Email</w:t>
      </w:r>
      <w:r w:rsidRPr="00EA77FC">
        <w:rPr>
          <w:rFonts w:eastAsia="MS Mincho"/>
          <w:sz w:val="20"/>
          <w:szCs w:val="18"/>
        </w:rPr>
        <w:t>:</w:t>
      </w:r>
      <w:r w:rsidRPr="00EA77FC">
        <w:rPr>
          <w:rFonts w:ascii="MS Mincho" w:eastAsia="MS Mincho" w:cs="MS Mincho"/>
          <w:sz w:val="20"/>
          <w:szCs w:val="18"/>
        </w:rPr>
        <w:tab/>
      </w:r>
      <w:hyperlink r:id="rId9" w:history="1">
        <w:r w:rsidR="00F170DB" w:rsidRPr="00EA77FC">
          <w:rPr>
            <w:rStyle w:val="Hyperlink"/>
            <w:rFonts w:eastAsia="MS Mincho"/>
            <w:sz w:val="20"/>
            <w:szCs w:val="18"/>
            <w:lang w:val="en-US"/>
          </w:rPr>
          <w:t>vtsaitas</w:t>
        </w:r>
        <w:r w:rsidR="00F170DB" w:rsidRPr="00EA77FC">
          <w:rPr>
            <w:rStyle w:val="Hyperlink"/>
            <w:rFonts w:eastAsia="MS Mincho"/>
            <w:sz w:val="20"/>
            <w:szCs w:val="18"/>
          </w:rPr>
          <w:t>@</w:t>
        </w:r>
        <w:r w:rsidR="00F170DB" w:rsidRPr="00EA77FC">
          <w:rPr>
            <w:rStyle w:val="Hyperlink"/>
            <w:rFonts w:eastAsia="MS Mincho"/>
            <w:sz w:val="20"/>
            <w:szCs w:val="18"/>
            <w:lang w:val="en-US"/>
          </w:rPr>
          <w:t>helpe</w:t>
        </w:r>
        <w:r w:rsidR="00F170DB" w:rsidRPr="00EA77FC">
          <w:rPr>
            <w:rStyle w:val="Hyperlink"/>
            <w:rFonts w:eastAsia="MS Mincho"/>
            <w:sz w:val="20"/>
            <w:szCs w:val="18"/>
          </w:rPr>
          <w:t>.</w:t>
        </w:r>
        <w:r w:rsidR="00F170DB" w:rsidRPr="00EA77FC">
          <w:rPr>
            <w:rStyle w:val="Hyperlink"/>
            <w:rFonts w:eastAsia="MS Mincho"/>
            <w:sz w:val="20"/>
            <w:szCs w:val="18"/>
            <w:lang w:val="en-US"/>
          </w:rPr>
          <w:t>gr</w:t>
        </w:r>
      </w:hyperlink>
    </w:p>
    <w:sectPr w:rsidR="004D5A34" w:rsidSect="00A7308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430" w:right="1060" w:bottom="899" w:left="935" w:header="1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D9" w:rsidRDefault="00532FD9">
      <w:r>
        <w:separator/>
      </w:r>
    </w:p>
  </w:endnote>
  <w:endnote w:type="continuationSeparator" w:id="0">
    <w:p w:rsidR="00532FD9" w:rsidRDefault="00532FD9">
      <w:r>
        <w:continuationSeparator/>
      </w:r>
    </w:p>
  </w:endnote>
  <w:endnote w:type="continuationNotice" w:id="1">
    <w:p w:rsidR="00532FD9" w:rsidRDefault="00532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2" w:rsidRDefault="00E46502" w:rsidP="00A73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6502" w:rsidRDefault="00E46502" w:rsidP="00A730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2" w:rsidRPr="00FC1BFB" w:rsidRDefault="00E46502" w:rsidP="00A7308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FC1BFB">
      <w:rPr>
        <w:rStyle w:val="PageNumber"/>
        <w:rFonts w:ascii="Arial" w:hAnsi="Arial" w:cs="Arial"/>
        <w:sz w:val="16"/>
        <w:szCs w:val="16"/>
      </w:rPr>
      <w:fldChar w:fldCharType="begin"/>
    </w:r>
    <w:r w:rsidRPr="00FC1BF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FC1BFB">
      <w:rPr>
        <w:rStyle w:val="PageNumber"/>
        <w:rFonts w:ascii="Arial" w:hAnsi="Arial" w:cs="Arial"/>
        <w:sz w:val="16"/>
        <w:szCs w:val="16"/>
      </w:rPr>
      <w:fldChar w:fldCharType="separate"/>
    </w:r>
    <w:r w:rsidR="004368DD">
      <w:rPr>
        <w:rStyle w:val="PageNumber"/>
        <w:rFonts w:ascii="Arial" w:hAnsi="Arial" w:cs="Arial"/>
        <w:noProof/>
        <w:sz w:val="16"/>
        <w:szCs w:val="16"/>
      </w:rPr>
      <w:t>4</w:t>
    </w:r>
    <w:r w:rsidRPr="00FC1BFB">
      <w:rPr>
        <w:rStyle w:val="PageNumber"/>
        <w:rFonts w:ascii="Arial" w:hAnsi="Arial" w:cs="Arial"/>
        <w:sz w:val="16"/>
        <w:szCs w:val="16"/>
      </w:rPr>
      <w:fldChar w:fldCharType="end"/>
    </w:r>
  </w:p>
  <w:p w:rsidR="00E46502" w:rsidRDefault="00E46502" w:rsidP="00A730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D9" w:rsidRDefault="00532FD9">
      <w:r>
        <w:separator/>
      </w:r>
    </w:p>
  </w:footnote>
  <w:footnote w:type="continuationSeparator" w:id="0">
    <w:p w:rsidR="00532FD9" w:rsidRDefault="00532FD9">
      <w:r>
        <w:continuationSeparator/>
      </w:r>
    </w:p>
  </w:footnote>
  <w:footnote w:type="continuationNotice" w:id="1">
    <w:p w:rsidR="00532FD9" w:rsidRDefault="00532F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2" w:rsidRDefault="00E46502" w:rsidP="00A7308A">
    <w:pPr>
      <w:pStyle w:val="Header"/>
      <w:spacing w:before="360" w:after="240"/>
      <w:jc w:val="right"/>
    </w:pPr>
    <w:r w:rsidRPr="00E7004B">
      <w:rPr>
        <w:color w:val="000080"/>
      </w:rPr>
      <w:object w:dxaOrig="9749" w:dyaOrig="3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27.75pt" o:ole="">
          <v:imagedata r:id="rId1" o:title=""/>
        </v:shape>
        <o:OLEObject Type="Embed" ProgID="PBrush" ShapeID="_x0000_i1025" DrawAspect="Content" ObjectID="_155654397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2" w:rsidRDefault="00E46502" w:rsidP="00A7308A">
    <w:pPr>
      <w:pStyle w:val="Header"/>
      <w:spacing w:before="360"/>
      <w:jc w:val="center"/>
    </w:pPr>
    <w:r>
      <w:rPr>
        <w:rFonts w:ascii="Tms Rmn" w:hAnsi="Tms Rmn"/>
        <w:noProof/>
        <w:sz w:val="20"/>
      </w:rPr>
      <w:drawing>
        <wp:inline distT="0" distB="0" distL="0" distR="0">
          <wp:extent cx="1443355" cy="850900"/>
          <wp:effectExtent l="0" t="0" r="444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D14"/>
    <w:multiLevelType w:val="hybridMultilevel"/>
    <w:tmpl w:val="C9F67774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6035405"/>
    <w:multiLevelType w:val="hybridMultilevel"/>
    <w:tmpl w:val="0DB2B322"/>
    <w:lvl w:ilvl="0" w:tplc="CF90585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F1A7C"/>
    <w:multiLevelType w:val="hybridMultilevel"/>
    <w:tmpl w:val="57B641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76FC1"/>
    <w:multiLevelType w:val="hybridMultilevel"/>
    <w:tmpl w:val="ED4E6ECE"/>
    <w:lvl w:ilvl="0" w:tplc="4F0A9076">
      <w:start w:val="1"/>
      <w:numFmt w:val="bullet"/>
      <w:pStyle w:val="BlockText10p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89B4885"/>
    <w:multiLevelType w:val="hybridMultilevel"/>
    <w:tmpl w:val="C4E04DA6"/>
    <w:lvl w:ilvl="0" w:tplc="9662D20C">
      <w:start w:val="20"/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EA5AF7"/>
    <w:multiLevelType w:val="hybridMultilevel"/>
    <w:tmpl w:val="4246F8CA"/>
    <w:lvl w:ilvl="0" w:tplc="01AC9630">
      <w:start w:val="20"/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E354B"/>
    <w:multiLevelType w:val="hybridMultilevel"/>
    <w:tmpl w:val="52E21906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NeedToUniquify" w:val="false"/>
    <w:docVar w:name="APWAFVersion" w:val="5.0"/>
  </w:docVars>
  <w:rsids>
    <w:rsidRoot w:val="00A7308A"/>
    <w:rsid w:val="000000CC"/>
    <w:rsid w:val="000019AB"/>
    <w:rsid w:val="00002F03"/>
    <w:rsid w:val="000043B8"/>
    <w:rsid w:val="000054D4"/>
    <w:rsid w:val="00006482"/>
    <w:rsid w:val="0000651D"/>
    <w:rsid w:val="0000680F"/>
    <w:rsid w:val="000079D2"/>
    <w:rsid w:val="0001094D"/>
    <w:rsid w:val="00012499"/>
    <w:rsid w:val="00013316"/>
    <w:rsid w:val="000141F7"/>
    <w:rsid w:val="00014469"/>
    <w:rsid w:val="0001641E"/>
    <w:rsid w:val="0002150A"/>
    <w:rsid w:val="0003056B"/>
    <w:rsid w:val="00032DBE"/>
    <w:rsid w:val="00032F4B"/>
    <w:rsid w:val="00034308"/>
    <w:rsid w:val="00034ACF"/>
    <w:rsid w:val="00035922"/>
    <w:rsid w:val="000369F5"/>
    <w:rsid w:val="00043E95"/>
    <w:rsid w:val="000461E1"/>
    <w:rsid w:val="0004760E"/>
    <w:rsid w:val="00050BE3"/>
    <w:rsid w:val="0005105B"/>
    <w:rsid w:val="00051C9C"/>
    <w:rsid w:val="00054499"/>
    <w:rsid w:val="000553DB"/>
    <w:rsid w:val="0005754E"/>
    <w:rsid w:val="00057A8D"/>
    <w:rsid w:val="0006103D"/>
    <w:rsid w:val="00061757"/>
    <w:rsid w:val="00061E03"/>
    <w:rsid w:val="00062735"/>
    <w:rsid w:val="00063C8B"/>
    <w:rsid w:val="000641DA"/>
    <w:rsid w:val="0006573A"/>
    <w:rsid w:val="0007156B"/>
    <w:rsid w:val="000716B4"/>
    <w:rsid w:val="0007707F"/>
    <w:rsid w:val="000774C3"/>
    <w:rsid w:val="000776D0"/>
    <w:rsid w:val="000812C3"/>
    <w:rsid w:val="00081795"/>
    <w:rsid w:val="00082D6C"/>
    <w:rsid w:val="0008722D"/>
    <w:rsid w:val="000917B2"/>
    <w:rsid w:val="0009193E"/>
    <w:rsid w:val="000919CC"/>
    <w:rsid w:val="00092F41"/>
    <w:rsid w:val="00093540"/>
    <w:rsid w:val="00094BB9"/>
    <w:rsid w:val="0009538D"/>
    <w:rsid w:val="000959F7"/>
    <w:rsid w:val="00096775"/>
    <w:rsid w:val="00097DAA"/>
    <w:rsid w:val="000A0926"/>
    <w:rsid w:val="000A38D0"/>
    <w:rsid w:val="000A65A4"/>
    <w:rsid w:val="000A71DA"/>
    <w:rsid w:val="000B1CDA"/>
    <w:rsid w:val="000B2D6D"/>
    <w:rsid w:val="000B5E90"/>
    <w:rsid w:val="000B6846"/>
    <w:rsid w:val="000B724B"/>
    <w:rsid w:val="000B735B"/>
    <w:rsid w:val="000B754D"/>
    <w:rsid w:val="000C12C5"/>
    <w:rsid w:val="000C2137"/>
    <w:rsid w:val="000C3E65"/>
    <w:rsid w:val="000C479C"/>
    <w:rsid w:val="000C4BE7"/>
    <w:rsid w:val="000C601E"/>
    <w:rsid w:val="000C7EDF"/>
    <w:rsid w:val="000D1487"/>
    <w:rsid w:val="000D1EB1"/>
    <w:rsid w:val="000D4615"/>
    <w:rsid w:val="000D465F"/>
    <w:rsid w:val="000D56E6"/>
    <w:rsid w:val="000D5B5C"/>
    <w:rsid w:val="000D62AA"/>
    <w:rsid w:val="000D7D60"/>
    <w:rsid w:val="000E1123"/>
    <w:rsid w:val="000E252E"/>
    <w:rsid w:val="000E2F82"/>
    <w:rsid w:val="000E6827"/>
    <w:rsid w:val="000F024C"/>
    <w:rsid w:val="000F0BD8"/>
    <w:rsid w:val="000F2830"/>
    <w:rsid w:val="000F3F98"/>
    <w:rsid w:val="000F4C73"/>
    <w:rsid w:val="000F51B9"/>
    <w:rsid w:val="000F6A50"/>
    <w:rsid w:val="000F7988"/>
    <w:rsid w:val="0010112B"/>
    <w:rsid w:val="001017FC"/>
    <w:rsid w:val="0010245A"/>
    <w:rsid w:val="00102EB5"/>
    <w:rsid w:val="00104474"/>
    <w:rsid w:val="00104CFC"/>
    <w:rsid w:val="00104F2B"/>
    <w:rsid w:val="0010776E"/>
    <w:rsid w:val="00107F7F"/>
    <w:rsid w:val="0011206F"/>
    <w:rsid w:val="0011224A"/>
    <w:rsid w:val="00115922"/>
    <w:rsid w:val="00120485"/>
    <w:rsid w:val="00120DFE"/>
    <w:rsid w:val="00121FA5"/>
    <w:rsid w:val="001236D4"/>
    <w:rsid w:val="00123C74"/>
    <w:rsid w:val="00123F69"/>
    <w:rsid w:val="0012464C"/>
    <w:rsid w:val="00125753"/>
    <w:rsid w:val="00125A65"/>
    <w:rsid w:val="00130569"/>
    <w:rsid w:val="001314C1"/>
    <w:rsid w:val="00133014"/>
    <w:rsid w:val="0013384D"/>
    <w:rsid w:val="0013556B"/>
    <w:rsid w:val="00136E63"/>
    <w:rsid w:val="0014050F"/>
    <w:rsid w:val="00140F41"/>
    <w:rsid w:val="00142A47"/>
    <w:rsid w:val="00142F97"/>
    <w:rsid w:val="00143BCF"/>
    <w:rsid w:val="00146F5E"/>
    <w:rsid w:val="00153AA2"/>
    <w:rsid w:val="00155971"/>
    <w:rsid w:val="00160937"/>
    <w:rsid w:val="0016292B"/>
    <w:rsid w:val="001640EB"/>
    <w:rsid w:val="001652BF"/>
    <w:rsid w:val="00165CC8"/>
    <w:rsid w:val="00170F23"/>
    <w:rsid w:val="00174455"/>
    <w:rsid w:val="00174A19"/>
    <w:rsid w:val="001752FB"/>
    <w:rsid w:val="001759A3"/>
    <w:rsid w:val="00176CE3"/>
    <w:rsid w:val="00177112"/>
    <w:rsid w:val="00177864"/>
    <w:rsid w:val="001844EC"/>
    <w:rsid w:val="00184AD4"/>
    <w:rsid w:val="00185B74"/>
    <w:rsid w:val="001874B6"/>
    <w:rsid w:val="0019092D"/>
    <w:rsid w:val="00192ED4"/>
    <w:rsid w:val="0019434D"/>
    <w:rsid w:val="00195393"/>
    <w:rsid w:val="001953E9"/>
    <w:rsid w:val="00197982"/>
    <w:rsid w:val="00197BA2"/>
    <w:rsid w:val="001A0974"/>
    <w:rsid w:val="001A22C0"/>
    <w:rsid w:val="001A2F27"/>
    <w:rsid w:val="001A36F3"/>
    <w:rsid w:val="001A5731"/>
    <w:rsid w:val="001A652B"/>
    <w:rsid w:val="001B3BC4"/>
    <w:rsid w:val="001B4C45"/>
    <w:rsid w:val="001B4F60"/>
    <w:rsid w:val="001C08BC"/>
    <w:rsid w:val="001C107D"/>
    <w:rsid w:val="001C1DA8"/>
    <w:rsid w:val="001C1F5F"/>
    <w:rsid w:val="001C39CC"/>
    <w:rsid w:val="001C3EE7"/>
    <w:rsid w:val="001C5742"/>
    <w:rsid w:val="001C7EF9"/>
    <w:rsid w:val="001D157E"/>
    <w:rsid w:val="001D1E3C"/>
    <w:rsid w:val="001D53BC"/>
    <w:rsid w:val="001D5580"/>
    <w:rsid w:val="001D7BCC"/>
    <w:rsid w:val="001E01CB"/>
    <w:rsid w:val="001E049F"/>
    <w:rsid w:val="001E0835"/>
    <w:rsid w:val="001E09F9"/>
    <w:rsid w:val="001E134A"/>
    <w:rsid w:val="001E1D5F"/>
    <w:rsid w:val="001E247E"/>
    <w:rsid w:val="001E3971"/>
    <w:rsid w:val="001E3B54"/>
    <w:rsid w:val="001E795E"/>
    <w:rsid w:val="001E7C59"/>
    <w:rsid w:val="001F3771"/>
    <w:rsid w:val="001F3CD5"/>
    <w:rsid w:val="001F40F9"/>
    <w:rsid w:val="001F60C1"/>
    <w:rsid w:val="001F691D"/>
    <w:rsid w:val="00200027"/>
    <w:rsid w:val="0020244A"/>
    <w:rsid w:val="002061D5"/>
    <w:rsid w:val="002112BF"/>
    <w:rsid w:val="00213B1A"/>
    <w:rsid w:val="00213EAE"/>
    <w:rsid w:val="00214CEF"/>
    <w:rsid w:val="002158C6"/>
    <w:rsid w:val="00215942"/>
    <w:rsid w:val="00215DF8"/>
    <w:rsid w:val="00217B57"/>
    <w:rsid w:val="00220C00"/>
    <w:rsid w:val="00221315"/>
    <w:rsid w:val="002226B8"/>
    <w:rsid w:val="002235CA"/>
    <w:rsid w:val="00224367"/>
    <w:rsid w:val="002255DE"/>
    <w:rsid w:val="002258A0"/>
    <w:rsid w:val="00225A3A"/>
    <w:rsid w:val="00225D7A"/>
    <w:rsid w:val="002266FF"/>
    <w:rsid w:val="002267D1"/>
    <w:rsid w:val="0023024E"/>
    <w:rsid w:val="00231DB3"/>
    <w:rsid w:val="00231F69"/>
    <w:rsid w:val="00233CE7"/>
    <w:rsid w:val="00233F14"/>
    <w:rsid w:val="00235AE7"/>
    <w:rsid w:val="00236DBD"/>
    <w:rsid w:val="002425D5"/>
    <w:rsid w:val="00243005"/>
    <w:rsid w:val="00252FC8"/>
    <w:rsid w:val="00254E05"/>
    <w:rsid w:val="0025528C"/>
    <w:rsid w:val="00256C89"/>
    <w:rsid w:val="00260850"/>
    <w:rsid w:val="0026248D"/>
    <w:rsid w:val="002625C5"/>
    <w:rsid w:val="00262B27"/>
    <w:rsid w:val="002654A8"/>
    <w:rsid w:val="002717A6"/>
    <w:rsid w:val="00276372"/>
    <w:rsid w:val="0028194B"/>
    <w:rsid w:val="00283E23"/>
    <w:rsid w:val="00284279"/>
    <w:rsid w:val="00284516"/>
    <w:rsid w:val="00285687"/>
    <w:rsid w:val="00285E1F"/>
    <w:rsid w:val="002861BA"/>
    <w:rsid w:val="002867DE"/>
    <w:rsid w:val="002913DE"/>
    <w:rsid w:val="0029469E"/>
    <w:rsid w:val="002948E1"/>
    <w:rsid w:val="002A172E"/>
    <w:rsid w:val="002A5B9B"/>
    <w:rsid w:val="002A7DAB"/>
    <w:rsid w:val="002B087E"/>
    <w:rsid w:val="002B1A66"/>
    <w:rsid w:val="002B1CDA"/>
    <w:rsid w:val="002B1ED4"/>
    <w:rsid w:val="002B3824"/>
    <w:rsid w:val="002B47C5"/>
    <w:rsid w:val="002B6B03"/>
    <w:rsid w:val="002C2387"/>
    <w:rsid w:val="002C2AF9"/>
    <w:rsid w:val="002C2D9D"/>
    <w:rsid w:val="002C4919"/>
    <w:rsid w:val="002C7BA3"/>
    <w:rsid w:val="002D139A"/>
    <w:rsid w:val="002D4007"/>
    <w:rsid w:val="002D44B9"/>
    <w:rsid w:val="002D5F78"/>
    <w:rsid w:val="002D751A"/>
    <w:rsid w:val="002E0249"/>
    <w:rsid w:val="002E1230"/>
    <w:rsid w:val="002E1E1F"/>
    <w:rsid w:val="002E6A49"/>
    <w:rsid w:val="002F1EEB"/>
    <w:rsid w:val="002F35CF"/>
    <w:rsid w:val="002F5732"/>
    <w:rsid w:val="00301011"/>
    <w:rsid w:val="00303D43"/>
    <w:rsid w:val="003043FA"/>
    <w:rsid w:val="00305143"/>
    <w:rsid w:val="00306BE4"/>
    <w:rsid w:val="003075F6"/>
    <w:rsid w:val="003115E9"/>
    <w:rsid w:val="0031466F"/>
    <w:rsid w:val="00314927"/>
    <w:rsid w:val="00314F43"/>
    <w:rsid w:val="00314F80"/>
    <w:rsid w:val="0031569A"/>
    <w:rsid w:val="003225FC"/>
    <w:rsid w:val="0032295E"/>
    <w:rsid w:val="00323765"/>
    <w:rsid w:val="00325564"/>
    <w:rsid w:val="003263BE"/>
    <w:rsid w:val="003264A2"/>
    <w:rsid w:val="00327F24"/>
    <w:rsid w:val="003315F0"/>
    <w:rsid w:val="003334AF"/>
    <w:rsid w:val="0033474C"/>
    <w:rsid w:val="00334996"/>
    <w:rsid w:val="00334EC1"/>
    <w:rsid w:val="0033605D"/>
    <w:rsid w:val="003368CB"/>
    <w:rsid w:val="00336F09"/>
    <w:rsid w:val="003423E6"/>
    <w:rsid w:val="00345001"/>
    <w:rsid w:val="00346FF1"/>
    <w:rsid w:val="00350155"/>
    <w:rsid w:val="00356463"/>
    <w:rsid w:val="003578AD"/>
    <w:rsid w:val="003602FD"/>
    <w:rsid w:val="0036060D"/>
    <w:rsid w:val="00362AF8"/>
    <w:rsid w:val="003633B7"/>
    <w:rsid w:val="003639C7"/>
    <w:rsid w:val="00364243"/>
    <w:rsid w:val="00364441"/>
    <w:rsid w:val="003701CF"/>
    <w:rsid w:val="003706A3"/>
    <w:rsid w:val="003824DE"/>
    <w:rsid w:val="003847BC"/>
    <w:rsid w:val="00386BD1"/>
    <w:rsid w:val="00390321"/>
    <w:rsid w:val="00391772"/>
    <w:rsid w:val="0039384C"/>
    <w:rsid w:val="00395814"/>
    <w:rsid w:val="003A13F7"/>
    <w:rsid w:val="003A7999"/>
    <w:rsid w:val="003B1F5D"/>
    <w:rsid w:val="003B1F6E"/>
    <w:rsid w:val="003B6542"/>
    <w:rsid w:val="003B7A3C"/>
    <w:rsid w:val="003B7F2F"/>
    <w:rsid w:val="003C2C90"/>
    <w:rsid w:val="003C3044"/>
    <w:rsid w:val="003C5617"/>
    <w:rsid w:val="003D57A9"/>
    <w:rsid w:val="003D63B0"/>
    <w:rsid w:val="003D722E"/>
    <w:rsid w:val="003D7B40"/>
    <w:rsid w:val="003E27AF"/>
    <w:rsid w:val="003E2B26"/>
    <w:rsid w:val="003E4D9D"/>
    <w:rsid w:val="003E5BDD"/>
    <w:rsid w:val="003E6831"/>
    <w:rsid w:val="003E696C"/>
    <w:rsid w:val="003E6D41"/>
    <w:rsid w:val="003E6E5C"/>
    <w:rsid w:val="003F0A7B"/>
    <w:rsid w:val="003F2F76"/>
    <w:rsid w:val="003F7056"/>
    <w:rsid w:val="003F7CB4"/>
    <w:rsid w:val="00400D88"/>
    <w:rsid w:val="00401E12"/>
    <w:rsid w:val="004031DA"/>
    <w:rsid w:val="00403B93"/>
    <w:rsid w:val="00406065"/>
    <w:rsid w:val="00407861"/>
    <w:rsid w:val="00407D6B"/>
    <w:rsid w:val="0041026F"/>
    <w:rsid w:val="00411088"/>
    <w:rsid w:val="00413C01"/>
    <w:rsid w:val="004144D0"/>
    <w:rsid w:val="00416C66"/>
    <w:rsid w:val="004212E4"/>
    <w:rsid w:val="00423331"/>
    <w:rsid w:val="00426957"/>
    <w:rsid w:val="004323B1"/>
    <w:rsid w:val="00432CDB"/>
    <w:rsid w:val="0043446D"/>
    <w:rsid w:val="00434C68"/>
    <w:rsid w:val="00436800"/>
    <w:rsid w:val="004368DD"/>
    <w:rsid w:val="00436A21"/>
    <w:rsid w:val="004415A0"/>
    <w:rsid w:val="00441FD3"/>
    <w:rsid w:val="00443030"/>
    <w:rsid w:val="00443DAA"/>
    <w:rsid w:val="00444349"/>
    <w:rsid w:val="004451FE"/>
    <w:rsid w:val="004461D9"/>
    <w:rsid w:val="00446C9A"/>
    <w:rsid w:val="00447BE2"/>
    <w:rsid w:val="00450C95"/>
    <w:rsid w:val="00450E06"/>
    <w:rsid w:val="004523F2"/>
    <w:rsid w:val="004537FB"/>
    <w:rsid w:val="00454AD4"/>
    <w:rsid w:val="00456537"/>
    <w:rsid w:val="0045732C"/>
    <w:rsid w:val="004579F1"/>
    <w:rsid w:val="00461A25"/>
    <w:rsid w:val="004639C3"/>
    <w:rsid w:val="004647B6"/>
    <w:rsid w:val="00466A87"/>
    <w:rsid w:val="00467760"/>
    <w:rsid w:val="00471A80"/>
    <w:rsid w:val="0047439B"/>
    <w:rsid w:val="00474D4C"/>
    <w:rsid w:val="00474E88"/>
    <w:rsid w:val="00475520"/>
    <w:rsid w:val="00475A10"/>
    <w:rsid w:val="00475B54"/>
    <w:rsid w:val="00476431"/>
    <w:rsid w:val="0047693D"/>
    <w:rsid w:val="004833AD"/>
    <w:rsid w:val="00484DFD"/>
    <w:rsid w:val="00486681"/>
    <w:rsid w:val="00487798"/>
    <w:rsid w:val="0049022D"/>
    <w:rsid w:val="00490369"/>
    <w:rsid w:val="00491026"/>
    <w:rsid w:val="004913EF"/>
    <w:rsid w:val="004918D3"/>
    <w:rsid w:val="00494997"/>
    <w:rsid w:val="00494C4F"/>
    <w:rsid w:val="00494C73"/>
    <w:rsid w:val="004A0C97"/>
    <w:rsid w:val="004A0CCB"/>
    <w:rsid w:val="004A0E43"/>
    <w:rsid w:val="004A1054"/>
    <w:rsid w:val="004A16EF"/>
    <w:rsid w:val="004A43D1"/>
    <w:rsid w:val="004A639D"/>
    <w:rsid w:val="004B06E9"/>
    <w:rsid w:val="004B0948"/>
    <w:rsid w:val="004B29F3"/>
    <w:rsid w:val="004B5547"/>
    <w:rsid w:val="004B66B3"/>
    <w:rsid w:val="004B7468"/>
    <w:rsid w:val="004B7493"/>
    <w:rsid w:val="004C0212"/>
    <w:rsid w:val="004C1480"/>
    <w:rsid w:val="004C1E0E"/>
    <w:rsid w:val="004C3BA8"/>
    <w:rsid w:val="004C3E06"/>
    <w:rsid w:val="004C57DF"/>
    <w:rsid w:val="004C5ED7"/>
    <w:rsid w:val="004C7644"/>
    <w:rsid w:val="004D2207"/>
    <w:rsid w:val="004D475C"/>
    <w:rsid w:val="004D5A34"/>
    <w:rsid w:val="004D6B86"/>
    <w:rsid w:val="004D73D0"/>
    <w:rsid w:val="004D77A6"/>
    <w:rsid w:val="004E015B"/>
    <w:rsid w:val="004E25DD"/>
    <w:rsid w:val="004E43DE"/>
    <w:rsid w:val="004E55DA"/>
    <w:rsid w:val="004F1094"/>
    <w:rsid w:val="004F1675"/>
    <w:rsid w:val="004F5B8D"/>
    <w:rsid w:val="00500A5D"/>
    <w:rsid w:val="00500D80"/>
    <w:rsid w:val="00501278"/>
    <w:rsid w:val="00502545"/>
    <w:rsid w:val="0050254F"/>
    <w:rsid w:val="0050309B"/>
    <w:rsid w:val="005033AA"/>
    <w:rsid w:val="00504DFA"/>
    <w:rsid w:val="00504F9A"/>
    <w:rsid w:val="005053E6"/>
    <w:rsid w:val="00505B33"/>
    <w:rsid w:val="005064A6"/>
    <w:rsid w:val="00512ED9"/>
    <w:rsid w:val="005142E2"/>
    <w:rsid w:val="0051484F"/>
    <w:rsid w:val="00514E36"/>
    <w:rsid w:val="005155A9"/>
    <w:rsid w:val="00521FA1"/>
    <w:rsid w:val="00521FE4"/>
    <w:rsid w:val="00530533"/>
    <w:rsid w:val="00532FD9"/>
    <w:rsid w:val="00533B59"/>
    <w:rsid w:val="005342C2"/>
    <w:rsid w:val="00535681"/>
    <w:rsid w:val="00537DB5"/>
    <w:rsid w:val="00542455"/>
    <w:rsid w:val="00551CE4"/>
    <w:rsid w:val="00553773"/>
    <w:rsid w:val="00553CE9"/>
    <w:rsid w:val="00554854"/>
    <w:rsid w:val="005551EC"/>
    <w:rsid w:val="005569B1"/>
    <w:rsid w:val="00557690"/>
    <w:rsid w:val="005610D0"/>
    <w:rsid w:val="00561B36"/>
    <w:rsid w:val="00562A5B"/>
    <w:rsid w:val="0056483F"/>
    <w:rsid w:val="005650AA"/>
    <w:rsid w:val="005657C7"/>
    <w:rsid w:val="00566D8E"/>
    <w:rsid w:val="00567B0F"/>
    <w:rsid w:val="005707BA"/>
    <w:rsid w:val="00570D0E"/>
    <w:rsid w:val="0057368E"/>
    <w:rsid w:val="00577629"/>
    <w:rsid w:val="005822F2"/>
    <w:rsid w:val="00584D0C"/>
    <w:rsid w:val="005939EF"/>
    <w:rsid w:val="00593A25"/>
    <w:rsid w:val="0059440E"/>
    <w:rsid w:val="00594ABE"/>
    <w:rsid w:val="00596033"/>
    <w:rsid w:val="00596320"/>
    <w:rsid w:val="00596B8A"/>
    <w:rsid w:val="005A16A8"/>
    <w:rsid w:val="005A3645"/>
    <w:rsid w:val="005A5581"/>
    <w:rsid w:val="005B1095"/>
    <w:rsid w:val="005B2505"/>
    <w:rsid w:val="005B2A06"/>
    <w:rsid w:val="005B3815"/>
    <w:rsid w:val="005B5F9F"/>
    <w:rsid w:val="005B687B"/>
    <w:rsid w:val="005B70BB"/>
    <w:rsid w:val="005C0503"/>
    <w:rsid w:val="005C0F57"/>
    <w:rsid w:val="005C3084"/>
    <w:rsid w:val="005C328A"/>
    <w:rsid w:val="005C3824"/>
    <w:rsid w:val="005C3996"/>
    <w:rsid w:val="005C3C8A"/>
    <w:rsid w:val="005C45FA"/>
    <w:rsid w:val="005C471A"/>
    <w:rsid w:val="005C4D20"/>
    <w:rsid w:val="005C5584"/>
    <w:rsid w:val="005D222E"/>
    <w:rsid w:val="005D789B"/>
    <w:rsid w:val="005E0B63"/>
    <w:rsid w:val="005E3398"/>
    <w:rsid w:val="005E3551"/>
    <w:rsid w:val="005E3869"/>
    <w:rsid w:val="005E5BC1"/>
    <w:rsid w:val="005E5CFE"/>
    <w:rsid w:val="005F5013"/>
    <w:rsid w:val="005F5487"/>
    <w:rsid w:val="005F74FF"/>
    <w:rsid w:val="005F7CC7"/>
    <w:rsid w:val="00602F2E"/>
    <w:rsid w:val="00603751"/>
    <w:rsid w:val="00603C8C"/>
    <w:rsid w:val="00604345"/>
    <w:rsid w:val="0061315F"/>
    <w:rsid w:val="00613978"/>
    <w:rsid w:val="00621F5A"/>
    <w:rsid w:val="00623EAF"/>
    <w:rsid w:val="00624031"/>
    <w:rsid w:val="00624C28"/>
    <w:rsid w:val="00625230"/>
    <w:rsid w:val="00625D16"/>
    <w:rsid w:val="00626DC2"/>
    <w:rsid w:val="00627AD5"/>
    <w:rsid w:val="00634B36"/>
    <w:rsid w:val="00636A6B"/>
    <w:rsid w:val="00637963"/>
    <w:rsid w:val="00637CB6"/>
    <w:rsid w:val="00640864"/>
    <w:rsid w:val="006408F3"/>
    <w:rsid w:val="00644FF3"/>
    <w:rsid w:val="00645907"/>
    <w:rsid w:val="00646175"/>
    <w:rsid w:val="00651455"/>
    <w:rsid w:val="00651641"/>
    <w:rsid w:val="006529C2"/>
    <w:rsid w:val="006548AB"/>
    <w:rsid w:val="006603F7"/>
    <w:rsid w:val="006605D1"/>
    <w:rsid w:val="00660B0C"/>
    <w:rsid w:val="006616F8"/>
    <w:rsid w:val="006646BA"/>
    <w:rsid w:val="0066517B"/>
    <w:rsid w:val="00665344"/>
    <w:rsid w:val="00665B5F"/>
    <w:rsid w:val="0067025D"/>
    <w:rsid w:val="00671580"/>
    <w:rsid w:val="00671588"/>
    <w:rsid w:val="00672136"/>
    <w:rsid w:val="00672965"/>
    <w:rsid w:val="00673932"/>
    <w:rsid w:val="00676851"/>
    <w:rsid w:val="00676CD7"/>
    <w:rsid w:val="00680FA4"/>
    <w:rsid w:val="0068142A"/>
    <w:rsid w:val="00683D19"/>
    <w:rsid w:val="0068626B"/>
    <w:rsid w:val="00686AF6"/>
    <w:rsid w:val="00687DA6"/>
    <w:rsid w:val="00690FDC"/>
    <w:rsid w:val="00691337"/>
    <w:rsid w:val="00691449"/>
    <w:rsid w:val="00692B19"/>
    <w:rsid w:val="006931FB"/>
    <w:rsid w:val="006949D0"/>
    <w:rsid w:val="00694B38"/>
    <w:rsid w:val="006951A1"/>
    <w:rsid w:val="0069576E"/>
    <w:rsid w:val="00697327"/>
    <w:rsid w:val="006979D6"/>
    <w:rsid w:val="00697AAC"/>
    <w:rsid w:val="006A0434"/>
    <w:rsid w:val="006A1032"/>
    <w:rsid w:val="006A1426"/>
    <w:rsid w:val="006A2561"/>
    <w:rsid w:val="006A3DB2"/>
    <w:rsid w:val="006A5114"/>
    <w:rsid w:val="006A5F6E"/>
    <w:rsid w:val="006A690C"/>
    <w:rsid w:val="006A6BA7"/>
    <w:rsid w:val="006B0521"/>
    <w:rsid w:val="006B0D38"/>
    <w:rsid w:val="006B40F6"/>
    <w:rsid w:val="006B4FB2"/>
    <w:rsid w:val="006B5278"/>
    <w:rsid w:val="006B56F8"/>
    <w:rsid w:val="006C0CFA"/>
    <w:rsid w:val="006C0EBB"/>
    <w:rsid w:val="006C14EC"/>
    <w:rsid w:val="006C4973"/>
    <w:rsid w:val="006C4D38"/>
    <w:rsid w:val="006C549D"/>
    <w:rsid w:val="006C5825"/>
    <w:rsid w:val="006D1B3C"/>
    <w:rsid w:val="006D1B59"/>
    <w:rsid w:val="006D2124"/>
    <w:rsid w:val="006D4269"/>
    <w:rsid w:val="006D54AA"/>
    <w:rsid w:val="006D57E1"/>
    <w:rsid w:val="006D7625"/>
    <w:rsid w:val="006E0493"/>
    <w:rsid w:val="006E21B9"/>
    <w:rsid w:val="006E3CB7"/>
    <w:rsid w:val="006E43E3"/>
    <w:rsid w:val="006E5AFE"/>
    <w:rsid w:val="006E7D73"/>
    <w:rsid w:val="006F06D3"/>
    <w:rsid w:val="006F3AFD"/>
    <w:rsid w:val="006F41A2"/>
    <w:rsid w:val="006F4BCD"/>
    <w:rsid w:val="006F61B6"/>
    <w:rsid w:val="006F6E7A"/>
    <w:rsid w:val="007001D9"/>
    <w:rsid w:val="007008EA"/>
    <w:rsid w:val="0070172D"/>
    <w:rsid w:val="007045E7"/>
    <w:rsid w:val="00704930"/>
    <w:rsid w:val="00704A91"/>
    <w:rsid w:val="007062BC"/>
    <w:rsid w:val="007069BE"/>
    <w:rsid w:val="007077EB"/>
    <w:rsid w:val="007114FA"/>
    <w:rsid w:val="007129A9"/>
    <w:rsid w:val="00712B47"/>
    <w:rsid w:val="00712BBE"/>
    <w:rsid w:val="007131A4"/>
    <w:rsid w:val="00720F2B"/>
    <w:rsid w:val="00722325"/>
    <w:rsid w:val="0072354C"/>
    <w:rsid w:val="00724F54"/>
    <w:rsid w:val="00726827"/>
    <w:rsid w:val="00726C6F"/>
    <w:rsid w:val="00730446"/>
    <w:rsid w:val="00730F21"/>
    <w:rsid w:val="0073256B"/>
    <w:rsid w:val="00733CD5"/>
    <w:rsid w:val="007344E6"/>
    <w:rsid w:val="00734B6E"/>
    <w:rsid w:val="00736072"/>
    <w:rsid w:val="00737B2D"/>
    <w:rsid w:val="00741C88"/>
    <w:rsid w:val="007441CA"/>
    <w:rsid w:val="00746232"/>
    <w:rsid w:val="00750060"/>
    <w:rsid w:val="0075032A"/>
    <w:rsid w:val="0075146B"/>
    <w:rsid w:val="00751DEB"/>
    <w:rsid w:val="00755084"/>
    <w:rsid w:val="00755F18"/>
    <w:rsid w:val="007619FA"/>
    <w:rsid w:val="00761B10"/>
    <w:rsid w:val="00762F04"/>
    <w:rsid w:val="00763ABF"/>
    <w:rsid w:val="00766EE8"/>
    <w:rsid w:val="00771ACB"/>
    <w:rsid w:val="00774173"/>
    <w:rsid w:val="00776091"/>
    <w:rsid w:val="0078065D"/>
    <w:rsid w:val="00782026"/>
    <w:rsid w:val="00782969"/>
    <w:rsid w:val="00783CE6"/>
    <w:rsid w:val="00784E91"/>
    <w:rsid w:val="0078658E"/>
    <w:rsid w:val="007865F7"/>
    <w:rsid w:val="007875F2"/>
    <w:rsid w:val="0078780C"/>
    <w:rsid w:val="00790AD1"/>
    <w:rsid w:val="00790BC2"/>
    <w:rsid w:val="00790C13"/>
    <w:rsid w:val="0079105A"/>
    <w:rsid w:val="00791061"/>
    <w:rsid w:val="0079225D"/>
    <w:rsid w:val="00793B73"/>
    <w:rsid w:val="00793D6F"/>
    <w:rsid w:val="00793F7A"/>
    <w:rsid w:val="007943EC"/>
    <w:rsid w:val="00794B85"/>
    <w:rsid w:val="00794BB3"/>
    <w:rsid w:val="0079627C"/>
    <w:rsid w:val="00797B16"/>
    <w:rsid w:val="00797E64"/>
    <w:rsid w:val="007A0FF6"/>
    <w:rsid w:val="007A2C39"/>
    <w:rsid w:val="007A303B"/>
    <w:rsid w:val="007A4F9B"/>
    <w:rsid w:val="007A546E"/>
    <w:rsid w:val="007A5AB0"/>
    <w:rsid w:val="007B210F"/>
    <w:rsid w:val="007B409D"/>
    <w:rsid w:val="007B4672"/>
    <w:rsid w:val="007C0851"/>
    <w:rsid w:val="007C0B68"/>
    <w:rsid w:val="007C6FF4"/>
    <w:rsid w:val="007D2CF4"/>
    <w:rsid w:val="007D456D"/>
    <w:rsid w:val="007D4FE4"/>
    <w:rsid w:val="007D4FE8"/>
    <w:rsid w:val="007D5682"/>
    <w:rsid w:val="007D56A9"/>
    <w:rsid w:val="007E041D"/>
    <w:rsid w:val="007E0D0D"/>
    <w:rsid w:val="007E3822"/>
    <w:rsid w:val="007E6C5E"/>
    <w:rsid w:val="007E7EB6"/>
    <w:rsid w:val="007F0C57"/>
    <w:rsid w:val="007F0DD6"/>
    <w:rsid w:val="007F16D9"/>
    <w:rsid w:val="007F7E66"/>
    <w:rsid w:val="00802E7F"/>
    <w:rsid w:val="00804A55"/>
    <w:rsid w:val="00804DC3"/>
    <w:rsid w:val="00805C0C"/>
    <w:rsid w:val="00806A3F"/>
    <w:rsid w:val="00806E9D"/>
    <w:rsid w:val="008079A3"/>
    <w:rsid w:val="008108EA"/>
    <w:rsid w:val="008112B1"/>
    <w:rsid w:val="00811B6E"/>
    <w:rsid w:val="0081289A"/>
    <w:rsid w:val="00814AE0"/>
    <w:rsid w:val="008173E2"/>
    <w:rsid w:val="00817AF7"/>
    <w:rsid w:val="0082398B"/>
    <w:rsid w:val="0082426A"/>
    <w:rsid w:val="0082523E"/>
    <w:rsid w:val="00826C44"/>
    <w:rsid w:val="008305BA"/>
    <w:rsid w:val="00830EE6"/>
    <w:rsid w:val="008322BB"/>
    <w:rsid w:val="00832621"/>
    <w:rsid w:val="00833F65"/>
    <w:rsid w:val="00836ECF"/>
    <w:rsid w:val="008372EC"/>
    <w:rsid w:val="00837475"/>
    <w:rsid w:val="00841771"/>
    <w:rsid w:val="008427FE"/>
    <w:rsid w:val="00842AC5"/>
    <w:rsid w:val="00851482"/>
    <w:rsid w:val="008524D7"/>
    <w:rsid w:val="00852695"/>
    <w:rsid w:val="008539DA"/>
    <w:rsid w:val="00853E01"/>
    <w:rsid w:val="00854DF7"/>
    <w:rsid w:val="00857609"/>
    <w:rsid w:val="008579C3"/>
    <w:rsid w:val="0087116E"/>
    <w:rsid w:val="008712E9"/>
    <w:rsid w:val="008737F2"/>
    <w:rsid w:val="00874770"/>
    <w:rsid w:val="008747BA"/>
    <w:rsid w:val="0087743D"/>
    <w:rsid w:val="0087781E"/>
    <w:rsid w:val="00882CD0"/>
    <w:rsid w:val="008832A0"/>
    <w:rsid w:val="0088396A"/>
    <w:rsid w:val="008841BF"/>
    <w:rsid w:val="00885021"/>
    <w:rsid w:val="008852A9"/>
    <w:rsid w:val="0088637F"/>
    <w:rsid w:val="008870DD"/>
    <w:rsid w:val="0088791E"/>
    <w:rsid w:val="008909C6"/>
    <w:rsid w:val="008916D8"/>
    <w:rsid w:val="00891919"/>
    <w:rsid w:val="00896DEC"/>
    <w:rsid w:val="008A15A3"/>
    <w:rsid w:val="008A20DB"/>
    <w:rsid w:val="008A3164"/>
    <w:rsid w:val="008A3C28"/>
    <w:rsid w:val="008A489B"/>
    <w:rsid w:val="008A5185"/>
    <w:rsid w:val="008B30AC"/>
    <w:rsid w:val="008B441C"/>
    <w:rsid w:val="008B739A"/>
    <w:rsid w:val="008C03F5"/>
    <w:rsid w:val="008C1262"/>
    <w:rsid w:val="008C14BE"/>
    <w:rsid w:val="008C1978"/>
    <w:rsid w:val="008C1EE3"/>
    <w:rsid w:val="008C3B2D"/>
    <w:rsid w:val="008C48E9"/>
    <w:rsid w:val="008D3959"/>
    <w:rsid w:val="008D7907"/>
    <w:rsid w:val="008E01E3"/>
    <w:rsid w:val="008E033B"/>
    <w:rsid w:val="008E4CEE"/>
    <w:rsid w:val="008E4F95"/>
    <w:rsid w:val="008E505B"/>
    <w:rsid w:val="008E73BF"/>
    <w:rsid w:val="008E77C0"/>
    <w:rsid w:val="008F0235"/>
    <w:rsid w:val="008F1751"/>
    <w:rsid w:val="008F2365"/>
    <w:rsid w:val="008F26B7"/>
    <w:rsid w:val="008F508C"/>
    <w:rsid w:val="00900987"/>
    <w:rsid w:val="00903972"/>
    <w:rsid w:val="00904036"/>
    <w:rsid w:val="009046FC"/>
    <w:rsid w:val="00904860"/>
    <w:rsid w:val="009050BA"/>
    <w:rsid w:val="009066F9"/>
    <w:rsid w:val="0090762A"/>
    <w:rsid w:val="009102EB"/>
    <w:rsid w:val="00910E25"/>
    <w:rsid w:val="009121C9"/>
    <w:rsid w:val="00915352"/>
    <w:rsid w:val="009157D7"/>
    <w:rsid w:val="009166D7"/>
    <w:rsid w:val="0092034A"/>
    <w:rsid w:val="009220CA"/>
    <w:rsid w:val="0092566F"/>
    <w:rsid w:val="0092691F"/>
    <w:rsid w:val="00926C1D"/>
    <w:rsid w:val="00927930"/>
    <w:rsid w:val="00927FD4"/>
    <w:rsid w:val="009323F3"/>
    <w:rsid w:val="00932E87"/>
    <w:rsid w:val="009345DF"/>
    <w:rsid w:val="00934DE9"/>
    <w:rsid w:val="0093517D"/>
    <w:rsid w:val="00940A87"/>
    <w:rsid w:val="00942881"/>
    <w:rsid w:val="00946438"/>
    <w:rsid w:val="00951BEA"/>
    <w:rsid w:val="00954A51"/>
    <w:rsid w:val="009557D7"/>
    <w:rsid w:val="0095786B"/>
    <w:rsid w:val="0096174F"/>
    <w:rsid w:val="00961C22"/>
    <w:rsid w:val="00961D0D"/>
    <w:rsid w:val="00961E6F"/>
    <w:rsid w:val="009631FE"/>
    <w:rsid w:val="009650F8"/>
    <w:rsid w:val="0096523F"/>
    <w:rsid w:val="009717AF"/>
    <w:rsid w:val="00973B36"/>
    <w:rsid w:val="00974062"/>
    <w:rsid w:val="00977427"/>
    <w:rsid w:val="00980A7C"/>
    <w:rsid w:val="00980AD5"/>
    <w:rsid w:val="00982ABD"/>
    <w:rsid w:val="00983020"/>
    <w:rsid w:val="009843B6"/>
    <w:rsid w:val="00987272"/>
    <w:rsid w:val="009923E0"/>
    <w:rsid w:val="009973FF"/>
    <w:rsid w:val="00997A7C"/>
    <w:rsid w:val="009A069F"/>
    <w:rsid w:val="009A0C4A"/>
    <w:rsid w:val="009A219E"/>
    <w:rsid w:val="009A2A41"/>
    <w:rsid w:val="009A65DF"/>
    <w:rsid w:val="009A66E7"/>
    <w:rsid w:val="009B034D"/>
    <w:rsid w:val="009B1FCF"/>
    <w:rsid w:val="009B28C6"/>
    <w:rsid w:val="009B2CB3"/>
    <w:rsid w:val="009B40C4"/>
    <w:rsid w:val="009B5713"/>
    <w:rsid w:val="009B7326"/>
    <w:rsid w:val="009B798E"/>
    <w:rsid w:val="009C02E6"/>
    <w:rsid w:val="009C1A4C"/>
    <w:rsid w:val="009C43EE"/>
    <w:rsid w:val="009C4815"/>
    <w:rsid w:val="009D13C8"/>
    <w:rsid w:val="009D1B86"/>
    <w:rsid w:val="009D224B"/>
    <w:rsid w:val="009D2700"/>
    <w:rsid w:val="009D28C6"/>
    <w:rsid w:val="009D3F1B"/>
    <w:rsid w:val="009D3F47"/>
    <w:rsid w:val="009D43C4"/>
    <w:rsid w:val="009D5512"/>
    <w:rsid w:val="009D603B"/>
    <w:rsid w:val="009E3045"/>
    <w:rsid w:val="009E480D"/>
    <w:rsid w:val="009E5F83"/>
    <w:rsid w:val="009E6BDF"/>
    <w:rsid w:val="009E7E8C"/>
    <w:rsid w:val="009E7F8A"/>
    <w:rsid w:val="009F19AB"/>
    <w:rsid w:val="009F234B"/>
    <w:rsid w:val="009F2540"/>
    <w:rsid w:val="009F2A44"/>
    <w:rsid w:val="009F30CA"/>
    <w:rsid w:val="009F37C7"/>
    <w:rsid w:val="009F5A1F"/>
    <w:rsid w:val="009F725F"/>
    <w:rsid w:val="009F7758"/>
    <w:rsid w:val="00A0290B"/>
    <w:rsid w:val="00A0297C"/>
    <w:rsid w:val="00A04D30"/>
    <w:rsid w:val="00A04F1C"/>
    <w:rsid w:val="00A051F4"/>
    <w:rsid w:val="00A05D0F"/>
    <w:rsid w:val="00A079AF"/>
    <w:rsid w:val="00A149E7"/>
    <w:rsid w:val="00A16E75"/>
    <w:rsid w:val="00A205D1"/>
    <w:rsid w:val="00A20A3C"/>
    <w:rsid w:val="00A20C7C"/>
    <w:rsid w:val="00A20EB2"/>
    <w:rsid w:val="00A20F83"/>
    <w:rsid w:val="00A2116F"/>
    <w:rsid w:val="00A2240C"/>
    <w:rsid w:val="00A2286C"/>
    <w:rsid w:val="00A247E1"/>
    <w:rsid w:val="00A24BD6"/>
    <w:rsid w:val="00A25F7F"/>
    <w:rsid w:val="00A26390"/>
    <w:rsid w:val="00A2644D"/>
    <w:rsid w:val="00A272F1"/>
    <w:rsid w:val="00A27F27"/>
    <w:rsid w:val="00A308C0"/>
    <w:rsid w:val="00A31896"/>
    <w:rsid w:val="00A33633"/>
    <w:rsid w:val="00A3467B"/>
    <w:rsid w:val="00A3772C"/>
    <w:rsid w:val="00A37D60"/>
    <w:rsid w:val="00A40136"/>
    <w:rsid w:val="00A42BEA"/>
    <w:rsid w:val="00A43EF2"/>
    <w:rsid w:val="00A45459"/>
    <w:rsid w:val="00A45718"/>
    <w:rsid w:val="00A46A96"/>
    <w:rsid w:val="00A4709C"/>
    <w:rsid w:val="00A47DB4"/>
    <w:rsid w:val="00A541D7"/>
    <w:rsid w:val="00A54FF5"/>
    <w:rsid w:val="00A56A5D"/>
    <w:rsid w:val="00A56E74"/>
    <w:rsid w:val="00A575FE"/>
    <w:rsid w:val="00A600CA"/>
    <w:rsid w:val="00A60616"/>
    <w:rsid w:val="00A6370C"/>
    <w:rsid w:val="00A64692"/>
    <w:rsid w:val="00A65C3E"/>
    <w:rsid w:val="00A65DB1"/>
    <w:rsid w:val="00A66DD9"/>
    <w:rsid w:val="00A67D7C"/>
    <w:rsid w:val="00A70AA7"/>
    <w:rsid w:val="00A70B6D"/>
    <w:rsid w:val="00A71665"/>
    <w:rsid w:val="00A71FAD"/>
    <w:rsid w:val="00A729E4"/>
    <w:rsid w:val="00A7308A"/>
    <w:rsid w:val="00A77381"/>
    <w:rsid w:val="00A8272B"/>
    <w:rsid w:val="00A83947"/>
    <w:rsid w:val="00A8473D"/>
    <w:rsid w:val="00A86094"/>
    <w:rsid w:val="00A938A2"/>
    <w:rsid w:val="00A93CF1"/>
    <w:rsid w:val="00A94DE3"/>
    <w:rsid w:val="00A969AC"/>
    <w:rsid w:val="00A978C3"/>
    <w:rsid w:val="00A97BC4"/>
    <w:rsid w:val="00AA150F"/>
    <w:rsid w:val="00AA3A0B"/>
    <w:rsid w:val="00AA3FF8"/>
    <w:rsid w:val="00AA4731"/>
    <w:rsid w:val="00AA5757"/>
    <w:rsid w:val="00AA7E84"/>
    <w:rsid w:val="00AA7F02"/>
    <w:rsid w:val="00AB0660"/>
    <w:rsid w:val="00AB3B9E"/>
    <w:rsid w:val="00AC2132"/>
    <w:rsid w:val="00AC26A3"/>
    <w:rsid w:val="00AC29D8"/>
    <w:rsid w:val="00AC30A8"/>
    <w:rsid w:val="00AC3CB4"/>
    <w:rsid w:val="00AC5465"/>
    <w:rsid w:val="00AC6E17"/>
    <w:rsid w:val="00AD1D62"/>
    <w:rsid w:val="00AD2B06"/>
    <w:rsid w:val="00AD3035"/>
    <w:rsid w:val="00AD720D"/>
    <w:rsid w:val="00AD7741"/>
    <w:rsid w:val="00AE0490"/>
    <w:rsid w:val="00AE2C75"/>
    <w:rsid w:val="00AE40DA"/>
    <w:rsid w:val="00AE414F"/>
    <w:rsid w:val="00AF2CBB"/>
    <w:rsid w:val="00AF2E4D"/>
    <w:rsid w:val="00AF4BD3"/>
    <w:rsid w:val="00AF6903"/>
    <w:rsid w:val="00B00B17"/>
    <w:rsid w:val="00B01CA3"/>
    <w:rsid w:val="00B03D41"/>
    <w:rsid w:val="00B056D2"/>
    <w:rsid w:val="00B064A8"/>
    <w:rsid w:val="00B066DC"/>
    <w:rsid w:val="00B071D8"/>
    <w:rsid w:val="00B07C35"/>
    <w:rsid w:val="00B127AA"/>
    <w:rsid w:val="00B151D4"/>
    <w:rsid w:val="00B17FE3"/>
    <w:rsid w:val="00B20AAF"/>
    <w:rsid w:val="00B20B68"/>
    <w:rsid w:val="00B229D0"/>
    <w:rsid w:val="00B22FC2"/>
    <w:rsid w:val="00B27A69"/>
    <w:rsid w:val="00B27C7B"/>
    <w:rsid w:val="00B321BF"/>
    <w:rsid w:val="00B369F6"/>
    <w:rsid w:val="00B36CF1"/>
    <w:rsid w:val="00B36F43"/>
    <w:rsid w:val="00B37241"/>
    <w:rsid w:val="00B41B6D"/>
    <w:rsid w:val="00B42445"/>
    <w:rsid w:val="00B42AF1"/>
    <w:rsid w:val="00B42C25"/>
    <w:rsid w:val="00B44129"/>
    <w:rsid w:val="00B478D8"/>
    <w:rsid w:val="00B505CA"/>
    <w:rsid w:val="00B52C31"/>
    <w:rsid w:val="00B53166"/>
    <w:rsid w:val="00B540F7"/>
    <w:rsid w:val="00B6092F"/>
    <w:rsid w:val="00B622D7"/>
    <w:rsid w:val="00B676F6"/>
    <w:rsid w:val="00B67F2D"/>
    <w:rsid w:val="00B71B0B"/>
    <w:rsid w:val="00B72224"/>
    <w:rsid w:val="00B7639D"/>
    <w:rsid w:val="00B776FB"/>
    <w:rsid w:val="00B77BF3"/>
    <w:rsid w:val="00B77E54"/>
    <w:rsid w:val="00B829BF"/>
    <w:rsid w:val="00B8393F"/>
    <w:rsid w:val="00B8527D"/>
    <w:rsid w:val="00B9148B"/>
    <w:rsid w:val="00B915EC"/>
    <w:rsid w:val="00B9161E"/>
    <w:rsid w:val="00B92C20"/>
    <w:rsid w:val="00B92E87"/>
    <w:rsid w:val="00B92F8A"/>
    <w:rsid w:val="00B93ABB"/>
    <w:rsid w:val="00B957A3"/>
    <w:rsid w:val="00B95E60"/>
    <w:rsid w:val="00B96289"/>
    <w:rsid w:val="00BA09AF"/>
    <w:rsid w:val="00BA0A57"/>
    <w:rsid w:val="00BA31BB"/>
    <w:rsid w:val="00BA4ACB"/>
    <w:rsid w:val="00BA4E69"/>
    <w:rsid w:val="00BA7932"/>
    <w:rsid w:val="00BB2220"/>
    <w:rsid w:val="00BB27BD"/>
    <w:rsid w:val="00BB4F8C"/>
    <w:rsid w:val="00BB52B5"/>
    <w:rsid w:val="00BB5D12"/>
    <w:rsid w:val="00BB7322"/>
    <w:rsid w:val="00BC190A"/>
    <w:rsid w:val="00BC1A56"/>
    <w:rsid w:val="00BC1C21"/>
    <w:rsid w:val="00BC2342"/>
    <w:rsid w:val="00BC314C"/>
    <w:rsid w:val="00BC3C5E"/>
    <w:rsid w:val="00BC55D5"/>
    <w:rsid w:val="00BC7AE1"/>
    <w:rsid w:val="00BD1193"/>
    <w:rsid w:val="00BD2B4E"/>
    <w:rsid w:val="00BD4F16"/>
    <w:rsid w:val="00BD5962"/>
    <w:rsid w:val="00BE4EDA"/>
    <w:rsid w:val="00BE7CB8"/>
    <w:rsid w:val="00BF3B00"/>
    <w:rsid w:val="00BF5DC7"/>
    <w:rsid w:val="00BF748C"/>
    <w:rsid w:val="00BF7F05"/>
    <w:rsid w:val="00C0000F"/>
    <w:rsid w:val="00C01945"/>
    <w:rsid w:val="00C032AD"/>
    <w:rsid w:val="00C035C1"/>
    <w:rsid w:val="00C05251"/>
    <w:rsid w:val="00C05533"/>
    <w:rsid w:val="00C05F03"/>
    <w:rsid w:val="00C0678B"/>
    <w:rsid w:val="00C108C6"/>
    <w:rsid w:val="00C1297E"/>
    <w:rsid w:val="00C22ACD"/>
    <w:rsid w:val="00C23C69"/>
    <w:rsid w:val="00C23EAC"/>
    <w:rsid w:val="00C2483E"/>
    <w:rsid w:val="00C24B78"/>
    <w:rsid w:val="00C253CE"/>
    <w:rsid w:val="00C25A52"/>
    <w:rsid w:val="00C262C2"/>
    <w:rsid w:val="00C30AF4"/>
    <w:rsid w:val="00C33076"/>
    <w:rsid w:val="00C33145"/>
    <w:rsid w:val="00C356D8"/>
    <w:rsid w:val="00C36377"/>
    <w:rsid w:val="00C37234"/>
    <w:rsid w:val="00C37ECA"/>
    <w:rsid w:val="00C40CF6"/>
    <w:rsid w:val="00C40DE5"/>
    <w:rsid w:val="00C412D6"/>
    <w:rsid w:val="00C41337"/>
    <w:rsid w:val="00C43492"/>
    <w:rsid w:val="00C44E99"/>
    <w:rsid w:val="00C45C9E"/>
    <w:rsid w:val="00C46224"/>
    <w:rsid w:val="00C46E7D"/>
    <w:rsid w:val="00C52C86"/>
    <w:rsid w:val="00C55453"/>
    <w:rsid w:val="00C5616E"/>
    <w:rsid w:val="00C61694"/>
    <w:rsid w:val="00C620CE"/>
    <w:rsid w:val="00C627BA"/>
    <w:rsid w:val="00C63ABF"/>
    <w:rsid w:val="00C64085"/>
    <w:rsid w:val="00C64290"/>
    <w:rsid w:val="00C65C85"/>
    <w:rsid w:val="00C67262"/>
    <w:rsid w:val="00C67F62"/>
    <w:rsid w:val="00C70154"/>
    <w:rsid w:val="00C7322D"/>
    <w:rsid w:val="00C76827"/>
    <w:rsid w:val="00C80F62"/>
    <w:rsid w:val="00C83716"/>
    <w:rsid w:val="00C862D6"/>
    <w:rsid w:val="00C866E4"/>
    <w:rsid w:val="00C907FA"/>
    <w:rsid w:val="00C934B5"/>
    <w:rsid w:val="00CA0105"/>
    <w:rsid w:val="00CA2444"/>
    <w:rsid w:val="00CA2538"/>
    <w:rsid w:val="00CA2786"/>
    <w:rsid w:val="00CA4C6B"/>
    <w:rsid w:val="00CA5B3B"/>
    <w:rsid w:val="00CA6DE5"/>
    <w:rsid w:val="00CB04E0"/>
    <w:rsid w:val="00CB07A9"/>
    <w:rsid w:val="00CB0DFF"/>
    <w:rsid w:val="00CB151C"/>
    <w:rsid w:val="00CB204C"/>
    <w:rsid w:val="00CB42EB"/>
    <w:rsid w:val="00CB4F74"/>
    <w:rsid w:val="00CB5062"/>
    <w:rsid w:val="00CB56EC"/>
    <w:rsid w:val="00CB67D4"/>
    <w:rsid w:val="00CC4D69"/>
    <w:rsid w:val="00CC6619"/>
    <w:rsid w:val="00CC6757"/>
    <w:rsid w:val="00CD2C4E"/>
    <w:rsid w:val="00CD2CDB"/>
    <w:rsid w:val="00CD39CA"/>
    <w:rsid w:val="00CD3EA9"/>
    <w:rsid w:val="00CD5B87"/>
    <w:rsid w:val="00CD701A"/>
    <w:rsid w:val="00CD7BE5"/>
    <w:rsid w:val="00CE0AF8"/>
    <w:rsid w:val="00CE295D"/>
    <w:rsid w:val="00CE3278"/>
    <w:rsid w:val="00CE4561"/>
    <w:rsid w:val="00CF0171"/>
    <w:rsid w:val="00CF0F0E"/>
    <w:rsid w:val="00CF1E24"/>
    <w:rsid w:val="00CF38B8"/>
    <w:rsid w:val="00CF3DA9"/>
    <w:rsid w:val="00CF57B7"/>
    <w:rsid w:val="00CF5815"/>
    <w:rsid w:val="00CF6EAA"/>
    <w:rsid w:val="00D00788"/>
    <w:rsid w:val="00D00A3E"/>
    <w:rsid w:val="00D07F14"/>
    <w:rsid w:val="00D10844"/>
    <w:rsid w:val="00D15C0A"/>
    <w:rsid w:val="00D1636E"/>
    <w:rsid w:val="00D16E38"/>
    <w:rsid w:val="00D2334B"/>
    <w:rsid w:val="00D241CA"/>
    <w:rsid w:val="00D24537"/>
    <w:rsid w:val="00D27A45"/>
    <w:rsid w:val="00D30604"/>
    <w:rsid w:val="00D30FC9"/>
    <w:rsid w:val="00D34120"/>
    <w:rsid w:val="00D378AA"/>
    <w:rsid w:val="00D4286E"/>
    <w:rsid w:val="00D43B79"/>
    <w:rsid w:val="00D43E80"/>
    <w:rsid w:val="00D4574B"/>
    <w:rsid w:val="00D4590D"/>
    <w:rsid w:val="00D47035"/>
    <w:rsid w:val="00D47676"/>
    <w:rsid w:val="00D516A7"/>
    <w:rsid w:val="00D5265B"/>
    <w:rsid w:val="00D53687"/>
    <w:rsid w:val="00D54ACA"/>
    <w:rsid w:val="00D55530"/>
    <w:rsid w:val="00D602FE"/>
    <w:rsid w:val="00D6290E"/>
    <w:rsid w:val="00D63DE5"/>
    <w:rsid w:val="00D650A6"/>
    <w:rsid w:val="00D66F8F"/>
    <w:rsid w:val="00D679C4"/>
    <w:rsid w:val="00D7306E"/>
    <w:rsid w:val="00D731FD"/>
    <w:rsid w:val="00D738A1"/>
    <w:rsid w:val="00D76036"/>
    <w:rsid w:val="00D77F28"/>
    <w:rsid w:val="00D80285"/>
    <w:rsid w:val="00D804CC"/>
    <w:rsid w:val="00D80A19"/>
    <w:rsid w:val="00D80BC0"/>
    <w:rsid w:val="00D82211"/>
    <w:rsid w:val="00D82BB9"/>
    <w:rsid w:val="00D8440B"/>
    <w:rsid w:val="00D851F2"/>
    <w:rsid w:val="00D86F02"/>
    <w:rsid w:val="00D873F2"/>
    <w:rsid w:val="00D90006"/>
    <w:rsid w:val="00D904A8"/>
    <w:rsid w:val="00D905F8"/>
    <w:rsid w:val="00D94D95"/>
    <w:rsid w:val="00D953C3"/>
    <w:rsid w:val="00D97BAE"/>
    <w:rsid w:val="00DA1002"/>
    <w:rsid w:val="00DA2F4B"/>
    <w:rsid w:val="00DA3350"/>
    <w:rsid w:val="00DA398D"/>
    <w:rsid w:val="00DA53AD"/>
    <w:rsid w:val="00DA627B"/>
    <w:rsid w:val="00DA783B"/>
    <w:rsid w:val="00DA7CF6"/>
    <w:rsid w:val="00DB072A"/>
    <w:rsid w:val="00DB407C"/>
    <w:rsid w:val="00DB5AE2"/>
    <w:rsid w:val="00DB5F90"/>
    <w:rsid w:val="00DC17A7"/>
    <w:rsid w:val="00DC3696"/>
    <w:rsid w:val="00DC630D"/>
    <w:rsid w:val="00DC773A"/>
    <w:rsid w:val="00DD0C8E"/>
    <w:rsid w:val="00DD1F23"/>
    <w:rsid w:val="00DD3257"/>
    <w:rsid w:val="00DD38C5"/>
    <w:rsid w:val="00DD399A"/>
    <w:rsid w:val="00DD5F4F"/>
    <w:rsid w:val="00DE17F2"/>
    <w:rsid w:val="00DE5D4F"/>
    <w:rsid w:val="00DE6F03"/>
    <w:rsid w:val="00DF0A52"/>
    <w:rsid w:val="00DF23D3"/>
    <w:rsid w:val="00DF32B7"/>
    <w:rsid w:val="00DF7672"/>
    <w:rsid w:val="00DF7EDC"/>
    <w:rsid w:val="00E007B7"/>
    <w:rsid w:val="00E011BE"/>
    <w:rsid w:val="00E0150F"/>
    <w:rsid w:val="00E03526"/>
    <w:rsid w:val="00E04FB6"/>
    <w:rsid w:val="00E07851"/>
    <w:rsid w:val="00E1376D"/>
    <w:rsid w:val="00E1786E"/>
    <w:rsid w:val="00E17D32"/>
    <w:rsid w:val="00E22EED"/>
    <w:rsid w:val="00E26C09"/>
    <w:rsid w:val="00E32922"/>
    <w:rsid w:val="00E330F1"/>
    <w:rsid w:val="00E33176"/>
    <w:rsid w:val="00E35171"/>
    <w:rsid w:val="00E35210"/>
    <w:rsid w:val="00E421D9"/>
    <w:rsid w:val="00E46502"/>
    <w:rsid w:val="00E46E10"/>
    <w:rsid w:val="00E50977"/>
    <w:rsid w:val="00E5258A"/>
    <w:rsid w:val="00E539BB"/>
    <w:rsid w:val="00E545FD"/>
    <w:rsid w:val="00E546E1"/>
    <w:rsid w:val="00E54858"/>
    <w:rsid w:val="00E56911"/>
    <w:rsid w:val="00E5761F"/>
    <w:rsid w:val="00E64B98"/>
    <w:rsid w:val="00E66337"/>
    <w:rsid w:val="00E67189"/>
    <w:rsid w:val="00E67365"/>
    <w:rsid w:val="00E71864"/>
    <w:rsid w:val="00E770D0"/>
    <w:rsid w:val="00E80C2D"/>
    <w:rsid w:val="00E81E2E"/>
    <w:rsid w:val="00E82417"/>
    <w:rsid w:val="00E8299A"/>
    <w:rsid w:val="00E84925"/>
    <w:rsid w:val="00E86D66"/>
    <w:rsid w:val="00E877D3"/>
    <w:rsid w:val="00E922BB"/>
    <w:rsid w:val="00E92948"/>
    <w:rsid w:val="00E938B3"/>
    <w:rsid w:val="00E94F06"/>
    <w:rsid w:val="00E95745"/>
    <w:rsid w:val="00E960C8"/>
    <w:rsid w:val="00E966C5"/>
    <w:rsid w:val="00E96E48"/>
    <w:rsid w:val="00EA0E66"/>
    <w:rsid w:val="00EA22E3"/>
    <w:rsid w:val="00EA2537"/>
    <w:rsid w:val="00EA30B6"/>
    <w:rsid w:val="00EA5FF1"/>
    <w:rsid w:val="00EA77FC"/>
    <w:rsid w:val="00EA7D28"/>
    <w:rsid w:val="00EB14F5"/>
    <w:rsid w:val="00EB26F5"/>
    <w:rsid w:val="00EB5787"/>
    <w:rsid w:val="00EB61DE"/>
    <w:rsid w:val="00EB6285"/>
    <w:rsid w:val="00EB73D7"/>
    <w:rsid w:val="00EC2B4C"/>
    <w:rsid w:val="00EC5826"/>
    <w:rsid w:val="00EC608F"/>
    <w:rsid w:val="00EC652B"/>
    <w:rsid w:val="00EC76D3"/>
    <w:rsid w:val="00EC7779"/>
    <w:rsid w:val="00ED38CA"/>
    <w:rsid w:val="00ED3DD5"/>
    <w:rsid w:val="00ED3ECB"/>
    <w:rsid w:val="00ED4D1D"/>
    <w:rsid w:val="00EE1077"/>
    <w:rsid w:val="00EE1190"/>
    <w:rsid w:val="00EE51AF"/>
    <w:rsid w:val="00EE6ABF"/>
    <w:rsid w:val="00EE7AE4"/>
    <w:rsid w:val="00EF2342"/>
    <w:rsid w:val="00EF2E94"/>
    <w:rsid w:val="00EF47BE"/>
    <w:rsid w:val="00EF4882"/>
    <w:rsid w:val="00F03407"/>
    <w:rsid w:val="00F04DF1"/>
    <w:rsid w:val="00F0567D"/>
    <w:rsid w:val="00F05B18"/>
    <w:rsid w:val="00F06322"/>
    <w:rsid w:val="00F07D2F"/>
    <w:rsid w:val="00F104DC"/>
    <w:rsid w:val="00F10727"/>
    <w:rsid w:val="00F13BC4"/>
    <w:rsid w:val="00F13DC4"/>
    <w:rsid w:val="00F168AB"/>
    <w:rsid w:val="00F170DB"/>
    <w:rsid w:val="00F20468"/>
    <w:rsid w:val="00F20469"/>
    <w:rsid w:val="00F22AEF"/>
    <w:rsid w:val="00F230FD"/>
    <w:rsid w:val="00F23A81"/>
    <w:rsid w:val="00F244FC"/>
    <w:rsid w:val="00F26A33"/>
    <w:rsid w:val="00F26DAE"/>
    <w:rsid w:val="00F30223"/>
    <w:rsid w:val="00F306E2"/>
    <w:rsid w:val="00F315C6"/>
    <w:rsid w:val="00F34B52"/>
    <w:rsid w:val="00F43B9E"/>
    <w:rsid w:val="00F464FF"/>
    <w:rsid w:val="00F46AB9"/>
    <w:rsid w:val="00F47461"/>
    <w:rsid w:val="00F47EF0"/>
    <w:rsid w:val="00F5228C"/>
    <w:rsid w:val="00F5550C"/>
    <w:rsid w:val="00F5767F"/>
    <w:rsid w:val="00F60154"/>
    <w:rsid w:val="00F625AA"/>
    <w:rsid w:val="00F62749"/>
    <w:rsid w:val="00F639FA"/>
    <w:rsid w:val="00F643FC"/>
    <w:rsid w:val="00F64C3D"/>
    <w:rsid w:val="00F65395"/>
    <w:rsid w:val="00F6570E"/>
    <w:rsid w:val="00F669FC"/>
    <w:rsid w:val="00F726C8"/>
    <w:rsid w:val="00F7273D"/>
    <w:rsid w:val="00F7341E"/>
    <w:rsid w:val="00F73BDF"/>
    <w:rsid w:val="00F808E2"/>
    <w:rsid w:val="00F8217E"/>
    <w:rsid w:val="00F83058"/>
    <w:rsid w:val="00F837F9"/>
    <w:rsid w:val="00F84555"/>
    <w:rsid w:val="00F85983"/>
    <w:rsid w:val="00F86F19"/>
    <w:rsid w:val="00F87685"/>
    <w:rsid w:val="00F904DA"/>
    <w:rsid w:val="00F91D40"/>
    <w:rsid w:val="00F9260E"/>
    <w:rsid w:val="00F92A45"/>
    <w:rsid w:val="00F92CE2"/>
    <w:rsid w:val="00F942A5"/>
    <w:rsid w:val="00F96272"/>
    <w:rsid w:val="00FA105B"/>
    <w:rsid w:val="00FA6415"/>
    <w:rsid w:val="00FB0629"/>
    <w:rsid w:val="00FB10B7"/>
    <w:rsid w:val="00FB14D1"/>
    <w:rsid w:val="00FB2552"/>
    <w:rsid w:val="00FB5A51"/>
    <w:rsid w:val="00FB5C12"/>
    <w:rsid w:val="00FB6263"/>
    <w:rsid w:val="00FB6AE4"/>
    <w:rsid w:val="00FC09B0"/>
    <w:rsid w:val="00FC2B68"/>
    <w:rsid w:val="00FC314B"/>
    <w:rsid w:val="00FC3216"/>
    <w:rsid w:val="00FC4FA4"/>
    <w:rsid w:val="00FC7C9C"/>
    <w:rsid w:val="00FD1143"/>
    <w:rsid w:val="00FD26BE"/>
    <w:rsid w:val="00FE0066"/>
    <w:rsid w:val="00FE0CA6"/>
    <w:rsid w:val="00FE1948"/>
    <w:rsid w:val="00FE498E"/>
    <w:rsid w:val="00FE5B26"/>
    <w:rsid w:val="00FE5D43"/>
    <w:rsid w:val="00FE6492"/>
    <w:rsid w:val="00FF05CD"/>
    <w:rsid w:val="00FF1896"/>
    <w:rsid w:val="00FF21CE"/>
    <w:rsid w:val="00FF263A"/>
    <w:rsid w:val="00FF3942"/>
    <w:rsid w:val="00FF3DED"/>
    <w:rsid w:val="00FF4103"/>
    <w:rsid w:val="00FF4329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662EB7-E898-4174-B7E4-BC7C90CD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730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308A"/>
  </w:style>
  <w:style w:type="paragraph" w:styleId="Header">
    <w:name w:val="header"/>
    <w:basedOn w:val="Normal"/>
    <w:rsid w:val="00A7308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A7308A"/>
    <w:pPr>
      <w:spacing w:before="100" w:beforeAutospacing="1" w:after="100" w:afterAutospacing="1"/>
    </w:pPr>
  </w:style>
  <w:style w:type="paragraph" w:styleId="BlockText">
    <w:name w:val="Block Text"/>
    <w:basedOn w:val="Normal"/>
    <w:rsid w:val="00A7308A"/>
    <w:pPr>
      <w:widowControl w:val="0"/>
      <w:adjustRightInd w:val="0"/>
      <w:spacing w:line="360" w:lineRule="atLeast"/>
      <w:ind w:left="709" w:right="-199" w:hanging="360"/>
      <w:jc w:val="both"/>
      <w:textAlignment w:val="baseline"/>
    </w:pPr>
    <w:rPr>
      <w:rFonts w:ascii="Arial" w:eastAsia="PMingLiU" w:hAnsi="Arial" w:cs="Arial"/>
      <w:snapToGrid w:val="0"/>
      <w:sz w:val="22"/>
      <w:szCs w:val="22"/>
      <w:lang w:eastAsia="ja-JP"/>
    </w:rPr>
  </w:style>
  <w:style w:type="paragraph" w:customStyle="1" w:styleId="BlockText10pt">
    <w:name w:val="Block Text + 10 pt"/>
    <w:aliases w:val="Right:  0 cm,After:  6 pt,Line spacing:  1.5 linest"/>
    <w:basedOn w:val="Normal"/>
    <w:rsid w:val="00A7308A"/>
    <w:pPr>
      <w:numPr>
        <w:numId w:val="4"/>
      </w:numPr>
      <w:spacing w:before="60" w:after="60" w:line="360" w:lineRule="auto"/>
      <w:ind w:left="357" w:hanging="357"/>
      <w:jc w:val="both"/>
    </w:pPr>
    <w:rPr>
      <w:rFonts w:ascii="Arial" w:eastAsia="PMingLiU" w:hAnsi="Arial" w:cs="Arial"/>
      <w:snapToGrid w:val="0"/>
      <w:sz w:val="20"/>
      <w:szCs w:val="22"/>
      <w:lang w:eastAsia="ja-JP"/>
    </w:rPr>
  </w:style>
  <w:style w:type="paragraph" w:styleId="BalloonText">
    <w:name w:val="Balloon Text"/>
    <w:basedOn w:val="Normal"/>
    <w:semiHidden/>
    <w:rsid w:val="005A3645"/>
    <w:rPr>
      <w:rFonts w:ascii="Tahoma" w:hAnsi="Tahoma" w:cs="Tahoma"/>
      <w:sz w:val="16"/>
      <w:szCs w:val="16"/>
    </w:rPr>
  </w:style>
  <w:style w:type="character" w:styleId="Hyperlink">
    <w:name w:val="Hyperlink"/>
    <w:rsid w:val="00F170DB"/>
    <w:rPr>
      <w:color w:val="0000FF"/>
      <w:u w:val="single"/>
    </w:rPr>
  </w:style>
  <w:style w:type="paragraph" w:customStyle="1" w:styleId="Default">
    <w:name w:val="Default"/>
    <w:rsid w:val="00034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8C19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978"/>
  </w:style>
  <w:style w:type="paragraph" w:styleId="CommentSubject">
    <w:name w:val="annotation subject"/>
    <w:basedOn w:val="CommentText"/>
    <w:next w:val="CommentText"/>
    <w:link w:val="CommentSubjectChar"/>
    <w:rsid w:val="008C1978"/>
    <w:rPr>
      <w:b/>
      <w:bCs/>
    </w:rPr>
  </w:style>
  <w:style w:type="character" w:customStyle="1" w:styleId="CommentSubjectChar">
    <w:name w:val="Comment Subject Char"/>
    <w:link w:val="CommentSubject"/>
    <w:rsid w:val="008C1978"/>
    <w:rPr>
      <w:b/>
      <w:bCs/>
    </w:rPr>
  </w:style>
  <w:style w:type="paragraph" w:styleId="Revision">
    <w:name w:val="Revision"/>
    <w:hidden/>
    <w:uiPriority w:val="99"/>
    <w:semiHidden/>
    <w:rsid w:val="002D4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tsaitas@helpe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4819-4455-407F-BEA3-DFDB01851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3F2F0-7D8B-47F9-8938-A7F2F2F0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ΔΕΛΤΙΟ ΤΥΠΟΥ</vt:lpstr>
    </vt:vector>
  </TitlesOfParts>
  <Company>ELPE</Company>
  <LinksUpToDate>false</LinksUpToDate>
  <CharactersWithSpaces>7787</CharactersWithSpaces>
  <SharedDoc>false</SharedDoc>
  <HLinks>
    <vt:vector size="6" baseType="variant"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mailto:vtsaitas@helpe.gr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atzitzika</dc:creator>
  <cp:lastModifiedBy>Dimou Panagiotis</cp:lastModifiedBy>
  <cp:revision>8</cp:revision>
  <cp:lastPrinted>2017-05-17T12:52:00Z</cp:lastPrinted>
  <dcterms:created xsi:type="dcterms:W3CDTF">2017-05-17T12:53:00Z</dcterms:created>
  <dcterms:modified xsi:type="dcterms:W3CDTF">2017-05-17T13:33:00Z</dcterms:modified>
</cp:coreProperties>
</file>