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BC" w:rsidRDefault="000E69BC" w:rsidP="00870DF4">
      <w:pPr>
        <w:pStyle w:val="Default"/>
        <w:spacing w:after="120"/>
        <w:ind w:left="720" w:firstLine="720"/>
        <w:rPr>
          <w:b/>
          <w:bCs/>
          <w:sz w:val="22"/>
          <w:szCs w:val="22"/>
          <w:lang w:val="en-US"/>
        </w:rPr>
      </w:pPr>
      <w:bookmarkStart w:id="0" w:name="_GoBack"/>
      <w:bookmarkEnd w:id="0"/>
    </w:p>
    <w:p w:rsidR="000E69BC" w:rsidRDefault="000E69BC" w:rsidP="00870DF4">
      <w:pPr>
        <w:pStyle w:val="Default"/>
        <w:spacing w:after="120"/>
        <w:ind w:left="720" w:firstLine="720"/>
        <w:rPr>
          <w:b/>
          <w:bCs/>
          <w:sz w:val="22"/>
          <w:szCs w:val="22"/>
          <w:lang w:val="en-US"/>
        </w:rPr>
      </w:pPr>
    </w:p>
    <w:p w:rsidR="000E69BC" w:rsidRDefault="000E69BC" w:rsidP="00870DF4">
      <w:pPr>
        <w:pStyle w:val="Default"/>
        <w:spacing w:after="120"/>
        <w:ind w:left="720" w:firstLine="720"/>
        <w:rPr>
          <w:b/>
          <w:bCs/>
          <w:sz w:val="22"/>
          <w:szCs w:val="22"/>
          <w:lang w:val="en-US"/>
        </w:rPr>
      </w:pPr>
    </w:p>
    <w:p w:rsidR="000E69BC" w:rsidRDefault="000E69BC" w:rsidP="00870DF4">
      <w:pPr>
        <w:pStyle w:val="Default"/>
        <w:spacing w:after="120"/>
        <w:ind w:left="720" w:firstLine="720"/>
        <w:rPr>
          <w:b/>
          <w:bCs/>
          <w:sz w:val="22"/>
          <w:szCs w:val="22"/>
          <w:lang w:val="en-US"/>
        </w:rPr>
      </w:pPr>
    </w:p>
    <w:p w:rsidR="000E69BC" w:rsidRDefault="000E69BC" w:rsidP="00870DF4">
      <w:pPr>
        <w:pStyle w:val="Default"/>
        <w:spacing w:after="120"/>
        <w:ind w:left="720" w:firstLine="720"/>
        <w:rPr>
          <w:b/>
          <w:bCs/>
          <w:sz w:val="22"/>
          <w:szCs w:val="22"/>
          <w:lang w:val="en-US"/>
        </w:rPr>
      </w:pPr>
    </w:p>
    <w:p w:rsidR="000E69BC" w:rsidRDefault="000E69BC" w:rsidP="00870DF4">
      <w:pPr>
        <w:pStyle w:val="Default"/>
        <w:spacing w:after="120"/>
        <w:ind w:left="720" w:firstLine="720"/>
        <w:rPr>
          <w:b/>
          <w:bCs/>
          <w:sz w:val="22"/>
          <w:szCs w:val="22"/>
          <w:lang w:val="en-US"/>
        </w:rPr>
      </w:pPr>
    </w:p>
    <w:p w:rsidR="000E69BC" w:rsidRDefault="000E69BC" w:rsidP="001658FC">
      <w:pPr>
        <w:pStyle w:val="Default"/>
        <w:spacing w:after="120"/>
        <w:jc w:val="center"/>
        <w:rPr>
          <w:b/>
          <w:bCs/>
          <w:sz w:val="22"/>
          <w:szCs w:val="22"/>
          <w:lang w:val="en-US"/>
        </w:rPr>
      </w:pPr>
      <w:r>
        <w:rPr>
          <w:b/>
          <w:bCs/>
          <w:sz w:val="22"/>
          <w:szCs w:val="22"/>
          <w:lang w:val="en-US"/>
        </w:rPr>
        <w:t xml:space="preserve">RESOLUTIONS OF THE </w:t>
      </w:r>
      <w:r>
        <w:rPr>
          <w:b/>
          <w:bCs/>
          <w:sz w:val="22"/>
          <w:szCs w:val="22"/>
        </w:rPr>
        <w:t>Ε</w:t>
      </w:r>
      <w:r>
        <w:rPr>
          <w:b/>
          <w:bCs/>
          <w:sz w:val="22"/>
          <w:szCs w:val="22"/>
          <w:lang w:val="en-US"/>
        </w:rPr>
        <w:t xml:space="preserve">XTRAORDINARY </w:t>
      </w:r>
      <w:r w:rsidRPr="00E56622">
        <w:rPr>
          <w:b/>
          <w:bCs/>
          <w:sz w:val="22"/>
          <w:szCs w:val="22"/>
          <w:lang w:val="en-US"/>
        </w:rPr>
        <w:t xml:space="preserve">GENERAL MEETING </w:t>
      </w:r>
      <w:r>
        <w:rPr>
          <w:b/>
          <w:bCs/>
          <w:sz w:val="22"/>
          <w:szCs w:val="22"/>
          <w:lang w:val="en-US"/>
        </w:rPr>
        <w:t>OF 6</w:t>
      </w:r>
      <w:r>
        <w:rPr>
          <w:b/>
          <w:bCs/>
          <w:sz w:val="22"/>
          <w:szCs w:val="22"/>
          <w:vertAlign w:val="superscript"/>
          <w:lang w:val="en-US"/>
        </w:rPr>
        <w:t xml:space="preserve">th </w:t>
      </w:r>
      <w:r>
        <w:rPr>
          <w:b/>
          <w:bCs/>
          <w:sz w:val="22"/>
          <w:szCs w:val="22"/>
          <w:lang w:val="en-US"/>
        </w:rPr>
        <w:t>JULY 2017</w:t>
      </w:r>
    </w:p>
    <w:p w:rsidR="000E69BC" w:rsidRPr="00E56622" w:rsidRDefault="000E69BC" w:rsidP="00870DF4">
      <w:pPr>
        <w:pStyle w:val="Default"/>
        <w:spacing w:after="120"/>
        <w:jc w:val="center"/>
        <w:rPr>
          <w:sz w:val="22"/>
          <w:szCs w:val="22"/>
          <w:lang w:val="en-US"/>
        </w:rPr>
      </w:pPr>
    </w:p>
    <w:p w:rsidR="000E69BC" w:rsidRDefault="000E69BC" w:rsidP="00870DF4">
      <w:pPr>
        <w:pStyle w:val="Default"/>
        <w:spacing w:after="120"/>
        <w:jc w:val="both"/>
        <w:rPr>
          <w:sz w:val="22"/>
          <w:szCs w:val="22"/>
          <w:lang w:val="en-US"/>
        </w:rPr>
      </w:pPr>
      <w:r w:rsidRPr="00E56622">
        <w:rPr>
          <w:sz w:val="22"/>
          <w:szCs w:val="22"/>
          <w:lang w:val="en-US"/>
        </w:rPr>
        <w:t>Hellenic</w:t>
      </w:r>
      <w:r>
        <w:rPr>
          <w:sz w:val="22"/>
          <w:szCs w:val="22"/>
          <w:lang w:val="en-US"/>
        </w:rPr>
        <w:t xml:space="preserve"> Petroleum S.A. hereby notifies that the Extraordinary General Meeting of the Shareholders of the C</w:t>
      </w:r>
      <w:r w:rsidRPr="00E56622">
        <w:rPr>
          <w:sz w:val="22"/>
          <w:szCs w:val="22"/>
          <w:lang w:val="en-US"/>
        </w:rPr>
        <w:t>ompa</w:t>
      </w:r>
      <w:r>
        <w:rPr>
          <w:sz w:val="22"/>
          <w:szCs w:val="22"/>
          <w:lang w:val="en-US"/>
        </w:rPr>
        <w:t>ny was held on 6</w:t>
      </w:r>
      <w:r>
        <w:rPr>
          <w:sz w:val="22"/>
          <w:szCs w:val="22"/>
          <w:vertAlign w:val="superscript"/>
          <w:lang w:val="en-US"/>
        </w:rPr>
        <w:t>th</w:t>
      </w:r>
      <w:r>
        <w:rPr>
          <w:sz w:val="22"/>
          <w:szCs w:val="22"/>
          <w:lang w:val="en-US"/>
        </w:rPr>
        <w:t xml:space="preserve"> July 2017 at 10.00 hours </w:t>
      </w:r>
      <w:r w:rsidRPr="00E56622">
        <w:rPr>
          <w:sz w:val="22"/>
          <w:szCs w:val="22"/>
          <w:lang w:val="en-US"/>
        </w:rPr>
        <w:t xml:space="preserve">at </w:t>
      </w:r>
      <w:r>
        <w:rPr>
          <w:sz w:val="22"/>
          <w:szCs w:val="22"/>
          <w:lang w:val="en-US"/>
        </w:rPr>
        <w:t>the Company’s premises at Aspropyrgos Attica (17</w:t>
      </w:r>
      <w:r w:rsidRPr="00B73F50">
        <w:rPr>
          <w:sz w:val="22"/>
          <w:szCs w:val="22"/>
          <w:vertAlign w:val="superscript"/>
          <w:lang w:val="en-US"/>
        </w:rPr>
        <w:t>th</w:t>
      </w:r>
      <w:r>
        <w:rPr>
          <w:sz w:val="22"/>
          <w:szCs w:val="22"/>
          <w:lang w:val="en-US"/>
        </w:rPr>
        <w:t xml:space="preserve"> km of Athens-Corinth National Road). </w:t>
      </w:r>
    </w:p>
    <w:p w:rsidR="000E69BC" w:rsidRPr="00E56622" w:rsidRDefault="000E69BC" w:rsidP="00870DF4">
      <w:pPr>
        <w:pStyle w:val="Default"/>
        <w:spacing w:after="120"/>
        <w:jc w:val="both"/>
        <w:rPr>
          <w:sz w:val="22"/>
          <w:szCs w:val="22"/>
          <w:lang w:val="en-US"/>
        </w:rPr>
      </w:pPr>
      <w:r>
        <w:rPr>
          <w:iCs/>
          <w:sz w:val="22"/>
          <w:szCs w:val="22"/>
          <w:lang w:val="en-US"/>
        </w:rPr>
        <w:t xml:space="preserve">At the said meeting, 196 </w:t>
      </w:r>
      <w:r>
        <w:rPr>
          <w:sz w:val="22"/>
          <w:szCs w:val="22"/>
          <w:lang w:val="en-US"/>
        </w:rPr>
        <w:t xml:space="preserve">shareholders, representing </w:t>
      </w:r>
      <w:r>
        <w:rPr>
          <w:iCs/>
          <w:sz w:val="22"/>
          <w:szCs w:val="22"/>
          <w:lang w:val="en-US"/>
        </w:rPr>
        <w:t>261,339,328</w:t>
      </w:r>
      <w:r>
        <w:rPr>
          <w:sz w:val="22"/>
          <w:szCs w:val="22"/>
          <w:lang w:val="en-US"/>
        </w:rPr>
        <w:t xml:space="preserve">common registered </w:t>
      </w:r>
      <w:r w:rsidRPr="00E56622">
        <w:rPr>
          <w:sz w:val="22"/>
          <w:szCs w:val="22"/>
          <w:lang w:val="en-US"/>
        </w:rPr>
        <w:t xml:space="preserve">shares and voting rights, out of </w:t>
      </w:r>
      <w:r>
        <w:rPr>
          <w:sz w:val="22"/>
          <w:szCs w:val="22"/>
          <w:lang w:val="en-US"/>
        </w:rPr>
        <w:t>the</w:t>
      </w:r>
      <w:r w:rsidRPr="00E56622">
        <w:rPr>
          <w:sz w:val="22"/>
          <w:szCs w:val="22"/>
          <w:lang w:val="en-US"/>
        </w:rPr>
        <w:t>tot</w:t>
      </w:r>
      <w:r>
        <w:rPr>
          <w:sz w:val="22"/>
          <w:szCs w:val="22"/>
          <w:lang w:val="en-US"/>
        </w:rPr>
        <w:t>al of 305,635,185, i.e.85.51</w:t>
      </w:r>
      <w:r w:rsidRPr="00E56622">
        <w:rPr>
          <w:sz w:val="22"/>
          <w:szCs w:val="22"/>
          <w:lang w:val="en-US"/>
        </w:rPr>
        <w:t xml:space="preserve">% of the </w:t>
      </w:r>
      <w:r>
        <w:rPr>
          <w:sz w:val="22"/>
          <w:szCs w:val="22"/>
          <w:lang w:val="en-US"/>
        </w:rPr>
        <w:t xml:space="preserve">issued and </w:t>
      </w:r>
      <w:r w:rsidRPr="00E56622">
        <w:rPr>
          <w:sz w:val="22"/>
          <w:szCs w:val="22"/>
          <w:lang w:val="en-US"/>
        </w:rPr>
        <w:t xml:space="preserve">paid up share capital, were </w:t>
      </w:r>
      <w:r>
        <w:rPr>
          <w:sz w:val="22"/>
          <w:szCs w:val="22"/>
          <w:lang w:val="en-US"/>
        </w:rPr>
        <w:t xml:space="preserve">either </w:t>
      </w:r>
      <w:r w:rsidRPr="00E56622">
        <w:rPr>
          <w:sz w:val="22"/>
          <w:szCs w:val="22"/>
          <w:lang w:val="en-US"/>
        </w:rPr>
        <w:t>present or le</w:t>
      </w:r>
      <w:r>
        <w:rPr>
          <w:sz w:val="22"/>
          <w:szCs w:val="22"/>
          <w:lang w:val="en-US"/>
        </w:rPr>
        <w:t>gally represented</w:t>
      </w:r>
      <w:r w:rsidRPr="00E56622">
        <w:rPr>
          <w:sz w:val="22"/>
          <w:szCs w:val="22"/>
          <w:lang w:val="en-US"/>
        </w:rPr>
        <w:t>.</w:t>
      </w:r>
    </w:p>
    <w:p w:rsidR="000E69BC" w:rsidRPr="00E56622" w:rsidRDefault="000E69BC" w:rsidP="00870DF4">
      <w:pPr>
        <w:pStyle w:val="Default"/>
        <w:spacing w:after="120"/>
        <w:jc w:val="both"/>
        <w:rPr>
          <w:sz w:val="22"/>
          <w:szCs w:val="22"/>
          <w:lang w:val="en-US"/>
        </w:rPr>
      </w:pPr>
      <w:r w:rsidRPr="00E56622">
        <w:rPr>
          <w:sz w:val="22"/>
          <w:szCs w:val="22"/>
          <w:lang w:val="en-US"/>
        </w:rPr>
        <w:t xml:space="preserve">The </w:t>
      </w:r>
      <w:r>
        <w:rPr>
          <w:sz w:val="22"/>
          <w:szCs w:val="22"/>
          <w:lang w:val="en-US"/>
        </w:rPr>
        <w:t xml:space="preserve">Extraordinary General Meeting adopted the following resolutions on the </w:t>
      </w:r>
      <w:r w:rsidRPr="00E56622">
        <w:rPr>
          <w:sz w:val="22"/>
          <w:szCs w:val="22"/>
          <w:lang w:val="en-US"/>
        </w:rPr>
        <w:t xml:space="preserve">items of the agenda: </w:t>
      </w:r>
    </w:p>
    <w:p w:rsidR="000E69BC" w:rsidRDefault="000E69BC" w:rsidP="00870DF4">
      <w:pPr>
        <w:pStyle w:val="Default"/>
        <w:spacing w:after="120"/>
        <w:jc w:val="both"/>
        <w:rPr>
          <w:b/>
          <w:bCs/>
          <w:sz w:val="22"/>
          <w:szCs w:val="22"/>
          <w:lang w:val="en-US"/>
        </w:rPr>
      </w:pPr>
    </w:p>
    <w:p w:rsidR="000E69BC" w:rsidRPr="00E56622" w:rsidRDefault="000E69BC" w:rsidP="00870DF4">
      <w:pPr>
        <w:pStyle w:val="Default"/>
        <w:spacing w:after="120"/>
        <w:ind w:left="1276" w:hanging="1276"/>
        <w:jc w:val="both"/>
        <w:rPr>
          <w:sz w:val="22"/>
          <w:szCs w:val="22"/>
          <w:lang w:val="en-US"/>
        </w:rPr>
      </w:pPr>
      <w:r w:rsidRPr="00E56622">
        <w:rPr>
          <w:b/>
          <w:bCs/>
          <w:sz w:val="22"/>
          <w:szCs w:val="22"/>
          <w:lang w:val="en-US"/>
        </w:rPr>
        <w:t>1</w:t>
      </w:r>
      <w:r w:rsidRPr="004D3A7D">
        <w:rPr>
          <w:b/>
          <w:bCs/>
          <w:sz w:val="22"/>
          <w:szCs w:val="22"/>
          <w:vertAlign w:val="superscript"/>
          <w:lang w:val="en-US"/>
        </w:rPr>
        <w:t>st</w:t>
      </w:r>
      <w:r w:rsidRPr="00E56622">
        <w:rPr>
          <w:b/>
          <w:bCs/>
          <w:sz w:val="22"/>
          <w:szCs w:val="22"/>
          <w:lang w:val="en-US"/>
        </w:rPr>
        <w:t>ITEM</w:t>
      </w:r>
      <w:r>
        <w:rPr>
          <w:lang w:val="en-US"/>
        </w:rPr>
        <w:tab/>
      </w:r>
      <w:r>
        <w:rPr>
          <w:b/>
          <w:bCs/>
          <w:sz w:val="22"/>
          <w:szCs w:val="22"/>
          <w:lang w:val="en-US"/>
        </w:rPr>
        <w:t xml:space="preserve">Granted </w:t>
      </w:r>
      <w:r w:rsidRPr="00870DF4">
        <w:rPr>
          <w:b/>
          <w:bCs/>
          <w:sz w:val="22"/>
          <w:szCs w:val="22"/>
          <w:lang w:val="en-US"/>
        </w:rPr>
        <w:t>a special permission in accordance with the provisions of article 23a paragraphs 2 and 3 of codified law 2190/1920 for the conclusion of a Memorandum of Understanding between the Hellenic Republic, the “Hellenic Republic Asset Development Fund S.A.” and “Hellenic Petroleum S.A.” for the joint sale of their participation in the “Hellenic Gas Transmission System Operator (DESFA) S.A.”.</w:t>
      </w:r>
    </w:p>
    <w:p w:rsidR="000E69BC" w:rsidRDefault="000E69BC" w:rsidP="00870DF4">
      <w:pPr>
        <w:pStyle w:val="Default"/>
        <w:spacing w:after="120"/>
        <w:jc w:val="both"/>
        <w:rPr>
          <w:sz w:val="22"/>
          <w:szCs w:val="22"/>
          <w:lang w:val="en-US"/>
        </w:rPr>
      </w:pPr>
      <w:r>
        <w:rPr>
          <w:sz w:val="22"/>
          <w:szCs w:val="22"/>
          <w:lang w:val="en-US"/>
        </w:rPr>
        <w:t xml:space="preserve">Total number of shares </w:t>
      </w:r>
      <w:r w:rsidRPr="00E56622">
        <w:rPr>
          <w:sz w:val="22"/>
          <w:szCs w:val="22"/>
          <w:lang w:val="en-US"/>
        </w:rPr>
        <w:t xml:space="preserve">for </w:t>
      </w:r>
      <w:r>
        <w:rPr>
          <w:sz w:val="22"/>
          <w:szCs w:val="22"/>
          <w:lang w:val="en-US"/>
        </w:rPr>
        <w:t xml:space="preserve">which </w:t>
      </w:r>
      <w:r w:rsidRPr="00E56622">
        <w:rPr>
          <w:sz w:val="22"/>
          <w:szCs w:val="22"/>
          <w:lang w:val="en-US"/>
        </w:rPr>
        <w:t>valid votes</w:t>
      </w:r>
      <w:r>
        <w:rPr>
          <w:sz w:val="22"/>
          <w:szCs w:val="22"/>
          <w:lang w:val="en-US"/>
        </w:rPr>
        <w:t xml:space="preserve"> were casted/ total number of valid votes:  </w:t>
      </w:r>
      <w:r>
        <w:rPr>
          <w:iCs/>
          <w:sz w:val="22"/>
          <w:szCs w:val="22"/>
          <w:lang w:val="en-US"/>
        </w:rPr>
        <w:t xml:space="preserve">261,339,328 </w:t>
      </w:r>
      <w:r>
        <w:rPr>
          <w:sz w:val="22"/>
          <w:szCs w:val="22"/>
          <w:lang w:val="en-US"/>
        </w:rPr>
        <w:t>corresponding to 85.51% of the paid up Company share capital.</w:t>
      </w:r>
    </w:p>
    <w:tbl>
      <w:tblPr>
        <w:tblW w:w="0" w:type="auto"/>
        <w:tblInd w:w="-431" w:type="dxa"/>
        <w:tblLook w:val="00A0"/>
      </w:tblPr>
      <w:tblGrid>
        <w:gridCol w:w="2806"/>
        <w:gridCol w:w="1440"/>
        <w:gridCol w:w="1259"/>
        <w:gridCol w:w="1056"/>
        <w:gridCol w:w="1336"/>
        <w:gridCol w:w="1056"/>
      </w:tblGrid>
      <w:tr w:rsidR="000E69BC" w:rsidRPr="002C66D4" w:rsidTr="004603D3">
        <w:tc>
          <w:tcPr>
            <w:tcW w:w="2806" w:type="dxa"/>
          </w:tcPr>
          <w:p w:rsidR="000E69BC" w:rsidRPr="002C66D4" w:rsidRDefault="000E69BC" w:rsidP="002C66D4">
            <w:pPr>
              <w:pStyle w:val="Default"/>
              <w:spacing w:after="120"/>
              <w:jc w:val="both"/>
              <w:rPr>
                <w:sz w:val="22"/>
                <w:szCs w:val="22"/>
                <w:lang w:val="en-US"/>
              </w:rPr>
            </w:pPr>
            <w:r w:rsidRPr="002C66D4">
              <w:rPr>
                <w:sz w:val="22"/>
                <w:szCs w:val="22"/>
                <w:lang w:val="en-US"/>
              </w:rPr>
              <w:t>Number of votes in favor:</w:t>
            </w:r>
          </w:p>
        </w:tc>
        <w:tc>
          <w:tcPr>
            <w:tcW w:w="1440" w:type="dxa"/>
          </w:tcPr>
          <w:p w:rsidR="000E69BC" w:rsidRPr="002C66D4" w:rsidRDefault="000E69BC" w:rsidP="002C66D4">
            <w:pPr>
              <w:pStyle w:val="Default"/>
              <w:spacing w:after="120"/>
              <w:jc w:val="both"/>
              <w:rPr>
                <w:sz w:val="22"/>
                <w:szCs w:val="22"/>
                <w:lang w:val="en-US"/>
              </w:rPr>
            </w:pPr>
            <w:r w:rsidRPr="002C66D4">
              <w:rPr>
                <w:sz w:val="22"/>
                <w:szCs w:val="22"/>
                <w:lang w:val="en-US"/>
              </w:rPr>
              <w:t>261,339,328</w:t>
            </w:r>
          </w:p>
        </w:tc>
        <w:tc>
          <w:tcPr>
            <w:tcW w:w="1259" w:type="dxa"/>
          </w:tcPr>
          <w:p w:rsidR="000E69BC" w:rsidRPr="002C66D4" w:rsidRDefault="000E69BC" w:rsidP="002C66D4">
            <w:pPr>
              <w:pStyle w:val="Default"/>
              <w:spacing w:after="120"/>
              <w:jc w:val="both"/>
              <w:rPr>
                <w:sz w:val="22"/>
                <w:szCs w:val="22"/>
                <w:lang w:val="en-US"/>
              </w:rPr>
            </w:pPr>
            <w:r w:rsidRPr="002C66D4">
              <w:rPr>
                <w:sz w:val="22"/>
                <w:szCs w:val="22"/>
                <w:lang w:val="en-US"/>
              </w:rPr>
              <w:t>against:</w:t>
            </w:r>
          </w:p>
        </w:tc>
        <w:tc>
          <w:tcPr>
            <w:tcW w:w="1056" w:type="dxa"/>
          </w:tcPr>
          <w:p w:rsidR="000E69BC" w:rsidRPr="002C66D4" w:rsidRDefault="000E69BC" w:rsidP="002C66D4">
            <w:pPr>
              <w:pStyle w:val="Default"/>
              <w:spacing w:after="120"/>
              <w:jc w:val="both"/>
              <w:rPr>
                <w:sz w:val="22"/>
                <w:szCs w:val="22"/>
                <w:lang w:val="en-US"/>
              </w:rPr>
            </w:pPr>
            <w:r w:rsidRPr="002C66D4">
              <w:rPr>
                <w:sz w:val="22"/>
                <w:szCs w:val="22"/>
                <w:lang w:val="en-US"/>
              </w:rPr>
              <w:t xml:space="preserve">0 </w:t>
            </w:r>
          </w:p>
        </w:tc>
        <w:tc>
          <w:tcPr>
            <w:tcW w:w="1336" w:type="dxa"/>
          </w:tcPr>
          <w:p w:rsidR="000E69BC" w:rsidRPr="002C66D4" w:rsidRDefault="000E69BC" w:rsidP="002C66D4">
            <w:pPr>
              <w:pStyle w:val="Default"/>
              <w:spacing w:after="120"/>
              <w:jc w:val="both"/>
              <w:rPr>
                <w:sz w:val="22"/>
                <w:szCs w:val="22"/>
                <w:lang w:val="en-US"/>
              </w:rPr>
            </w:pPr>
            <w:r w:rsidRPr="002C66D4">
              <w:rPr>
                <w:sz w:val="22"/>
                <w:szCs w:val="22"/>
                <w:lang w:val="en-US"/>
              </w:rPr>
              <w:t>abstained:</w:t>
            </w:r>
          </w:p>
        </w:tc>
        <w:tc>
          <w:tcPr>
            <w:tcW w:w="1056" w:type="dxa"/>
          </w:tcPr>
          <w:p w:rsidR="000E69BC" w:rsidRPr="002C66D4" w:rsidRDefault="000E69BC" w:rsidP="002C66D4">
            <w:pPr>
              <w:pStyle w:val="Default"/>
              <w:spacing w:after="120"/>
              <w:jc w:val="both"/>
              <w:rPr>
                <w:sz w:val="22"/>
                <w:szCs w:val="22"/>
                <w:lang w:val="en-US"/>
              </w:rPr>
            </w:pPr>
            <w:r w:rsidRPr="002C66D4">
              <w:rPr>
                <w:sz w:val="22"/>
                <w:szCs w:val="22"/>
                <w:lang w:val="en-US"/>
              </w:rPr>
              <w:t>0</w:t>
            </w:r>
          </w:p>
        </w:tc>
      </w:tr>
    </w:tbl>
    <w:p w:rsidR="000E69BC" w:rsidRDefault="000E69BC" w:rsidP="00870DF4">
      <w:pPr>
        <w:pStyle w:val="Default"/>
        <w:ind w:left="1276" w:hanging="1276"/>
        <w:jc w:val="both"/>
        <w:rPr>
          <w:b/>
          <w:bCs/>
          <w:sz w:val="22"/>
          <w:szCs w:val="22"/>
          <w:lang w:val="en-US"/>
        </w:rPr>
      </w:pPr>
    </w:p>
    <w:p w:rsidR="000E69BC" w:rsidRPr="000D0F94" w:rsidRDefault="000E69BC" w:rsidP="00870DF4">
      <w:pPr>
        <w:pStyle w:val="Default"/>
        <w:ind w:left="1276" w:hanging="1276"/>
        <w:jc w:val="both"/>
        <w:rPr>
          <w:b/>
          <w:sz w:val="22"/>
          <w:szCs w:val="22"/>
          <w:u w:val="single"/>
          <w:lang w:val="en-US"/>
        </w:rPr>
      </w:pPr>
      <w:r w:rsidRPr="00E56622">
        <w:rPr>
          <w:b/>
          <w:bCs/>
          <w:sz w:val="22"/>
          <w:szCs w:val="22"/>
          <w:lang w:val="en-US"/>
        </w:rPr>
        <w:t>2</w:t>
      </w:r>
      <w:r w:rsidRPr="006065AE">
        <w:rPr>
          <w:b/>
          <w:bCs/>
          <w:sz w:val="22"/>
          <w:szCs w:val="22"/>
          <w:vertAlign w:val="superscript"/>
          <w:lang w:val="en-US"/>
        </w:rPr>
        <w:t>nd</w:t>
      </w:r>
      <w:r w:rsidRPr="00E56622">
        <w:rPr>
          <w:b/>
          <w:bCs/>
          <w:sz w:val="22"/>
          <w:szCs w:val="22"/>
          <w:lang w:val="en-US"/>
        </w:rPr>
        <w:t>ITEM:</w:t>
      </w:r>
      <w:r>
        <w:rPr>
          <w:b/>
          <w:bCs/>
          <w:sz w:val="22"/>
          <w:szCs w:val="22"/>
          <w:lang w:val="en-US"/>
        </w:rPr>
        <w:tab/>
      </w:r>
      <w:r>
        <w:rPr>
          <w:b/>
          <w:bCs/>
          <w:sz w:val="22"/>
          <w:szCs w:val="22"/>
          <w:u w:val="single"/>
          <w:lang w:val="en-US"/>
        </w:rPr>
        <w:t xml:space="preserve">Defined a new </w:t>
      </w:r>
      <w:r w:rsidRPr="00870DF4">
        <w:rPr>
          <w:b/>
          <w:bCs/>
          <w:sz w:val="22"/>
          <w:szCs w:val="22"/>
          <w:u w:val="single"/>
          <w:lang w:val="en-US"/>
        </w:rPr>
        <w:t>time period for the acquisition of treasury stocks by the Companyin accordance with Artic</w:t>
      </w:r>
      <w:r>
        <w:rPr>
          <w:b/>
          <w:bCs/>
          <w:sz w:val="22"/>
          <w:szCs w:val="22"/>
          <w:u w:val="single"/>
          <w:lang w:val="en-US"/>
        </w:rPr>
        <w:t xml:space="preserve">le 16 of codified law 2190/1920 </w:t>
      </w:r>
      <w:r w:rsidRPr="00870DF4">
        <w:rPr>
          <w:b/>
          <w:bCs/>
          <w:sz w:val="22"/>
          <w:szCs w:val="22"/>
          <w:u w:val="single"/>
          <w:lang w:val="en-US"/>
        </w:rPr>
        <w:t xml:space="preserve">in </w:t>
      </w:r>
      <w:r>
        <w:rPr>
          <w:b/>
          <w:bCs/>
          <w:sz w:val="22"/>
          <w:szCs w:val="22"/>
          <w:u w:val="single"/>
          <w:lang w:val="en-US"/>
        </w:rPr>
        <w:t xml:space="preserve">relation with the current Stock Option Plan of the Company, </w:t>
      </w:r>
      <w:r w:rsidRPr="00870DF4">
        <w:rPr>
          <w:b/>
          <w:bCs/>
          <w:sz w:val="22"/>
          <w:szCs w:val="22"/>
          <w:u w:val="single"/>
          <w:lang w:val="en-US"/>
        </w:rPr>
        <w:t xml:space="preserve">which is </w:t>
      </w:r>
      <w:r w:rsidRPr="00D004D0">
        <w:rPr>
          <w:b/>
          <w:bCs/>
          <w:sz w:val="22"/>
          <w:szCs w:val="22"/>
          <w:u w:val="single"/>
          <w:lang w:val="en-US"/>
        </w:rPr>
        <w:t xml:space="preserve">determined </w:t>
      </w:r>
      <w:r w:rsidRPr="00870DF4">
        <w:rPr>
          <w:b/>
          <w:bCs/>
          <w:sz w:val="22"/>
          <w:szCs w:val="22"/>
          <w:u w:val="single"/>
          <w:lang w:val="en-US"/>
        </w:rPr>
        <w:t>until 05.12.2018</w:t>
      </w:r>
    </w:p>
    <w:p w:rsidR="000E69BC" w:rsidRDefault="000E69BC" w:rsidP="00870DF4">
      <w:pPr>
        <w:pStyle w:val="Default"/>
        <w:spacing w:after="120"/>
        <w:jc w:val="both"/>
        <w:rPr>
          <w:sz w:val="22"/>
          <w:szCs w:val="22"/>
          <w:lang w:val="en-US"/>
        </w:rPr>
      </w:pPr>
    </w:p>
    <w:p w:rsidR="000E69BC" w:rsidRDefault="000E69BC" w:rsidP="00870DF4">
      <w:pPr>
        <w:pStyle w:val="Default"/>
        <w:spacing w:after="120"/>
        <w:jc w:val="both"/>
        <w:rPr>
          <w:sz w:val="22"/>
          <w:szCs w:val="22"/>
          <w:lang w:val="en-US"/>
        </w:rPr>
      </w:pPr>
      <w:r>
        <w:rPr>
          <w:sz w:val="22"/>
          <w:szCs w:val="22"/>
          <w:lang w:val="en-US"/>
        </w:rPr>
        <w:t xml:space="preserve">Total number of shares </w:t>
      </w:r>
      <w:r w:rsidRPr="00E56622">
        <w:rPr>
          <w:sz w:val="22"/>
          <w:szCs w:val="22"/>
          <w:lang w:val="en-US"/>
        </w:rPr>
        <w:t xml:space="preserve">for </w:t>
      </w:r>
      <w:r>
        <w:rPr>
          <w:sz w:val="22"/>
          <w:szCs w:val="22"/>
          <w:lang w:val="en-US"/>
        </w:rPr>
        <w:t xml:space="preserve">which </w:t>
      </w:r>
      <w:r w:rsidRPr="00E56622">
        <w:rPr>
          <w:sz w:val="22"/>
          <w:szCs w:val="22"/>
          <w:lang w:val="en-US"/>
        </w:rPr>
        <w:t>valid votes</w:t>
      </w:r>
      <w:r>
        <w:rPr>
          <w:sz w:val="22"/>
          <w:szCs w:val="22"/>
          <w:lang w:val="en-US"/>
        </w:rPr>
        <w:t xml:space="preserve"> were casted/ total number of valid votes: </w:t>
      </w:r>
      <w:r>
        <w:rPr>
          <w:iCs/>
          <w:sz w:val="22"/>
          <w:szCs w:val="22"/>
          <w:lang w:val="en-US"/>
        </w:rPr>
        <w:t xml:space="preserve">261,339,328   </w:t>
      </w:r>
      <w:r>
        <w:rPr>
          <w:sz w:val="22"/>
          <w:szCs w:val="22"/>
          <w:lang w:val="en-US"/>
        </w:rPr>
        <w:t>corresponding to 85.51% of the paid up Company share capital.</w:t>
      </w:r>
    </w:p>
    <w:tbl>
      <w:tblPr>
        <w:tblW w:w="0" w:type="auto"/>
        <w:tblInd w:w="-431" w:type="dxa"/>
        <w:tblLook w:val="00A0"/>
      </w:tblPr>
      <w:tblGrid>
        <w:gridCol w:w="2883"/>
        <w:gridCol w:w="1440"/>
        <w:gridCol w:w="1107"/>
        <w:gridCol w:w="1252"/>
        <w:gridCol w:w="1278"/>
        <w:gridCol w:w="767"/>
      </w:tblGrid>
      <w:tr w:rsidR="000E69BC" w:rsidRPr="002C66D4" w:rsidTr="002C66D4">
        <w:tc>
          <w:tcPr>
            <w:tcW w:w="2883" w:type="dxa"/>
          </w:tcPr>
          <w:p w:rsidR="000E69BC" w:rsidRPr="002C66D4" w:rsidRDefault="000E69BC" w:rsidP="002C66D4">
            <w:pPr>
              <w:pStyle w:val="Default"/>
              <w:spacing w:after="120"/>
              <w:jc w:val="both"/>
              <w:rPr>
                <w:sz w:val="22"/>
                <w:szCs w:val="22"/>
                <w:lang w:val="en-US"/>
              </w:rPr>
            </w:pPr>
            <w:r w:rsidRPr="002C66D4">
              <w:rPr>
                <w:sz w:val="22"/>
                <w:szCs w:val="22"/>
                <w:lang w:val="en-US"/>
              </w:rPr>
              <w:t>Number of votes in favor:</w:t>
            </w:r>
          </w:p>
        </w:tc>
        <w:tc>
          <w:tcPr>
            <w:tcW w:w="1440" w:type="dxa"/>
          </w:tcPr>
          <w:p w:rsidR="000E69BC" w:rsidRPr="002C66D4" w:rsidRDefault="000E69BC" w:rsidP="002C66D4">
            <w:pPr>
              <w:pStyle w:val="Default"/>
              <w:spacing w:after="120"/>
              <w:jc w:val="both"/>
              <w:rPr>
                <w:sz w:val="22"/>
                <w:szCs w:val="22"/>
                <w:lang w:val="en-US"/>
              </w:rPr>
            </w:pPr>
            <w:r w:rsidRPr="002C66D4">
              <w:rPr>
                <w:sz w:val="22"/>
                <w:szCs w:val="22"/>
                <w:lang w:val="en-US"/>
              </w:rPr>
              <w:t>255,452,653</w:t>
            </w:r>
          </w:p>
        </w:tc>
        <w:tc>
          <w:tcPr>
            <w:tcW w:w="1107" w:type="dxa"/>
          </w:tcPr>
          <w:p w:rsidR="000E69BC" w:rsidRPr="002C66D4" w:rsidRDefault="000E69BC" w:rsidP="002C66D4">
            <w:pPr>
              <w:pStyle w:val="Default"/>
              <w:spacing w:after="120"/>
              <w:jc w:val="both"/>
              <w:rPr>
                <w:sz w:val="22"/>
                <w:szCs w:val="22"/>
                <w:lang w:val="en-US"/>
              </w:rPr>
            </w:pPr>
            <w:r w:rsidRPr="002C66D4">
              <w:rPr>
                <w:sz w:val="22"/>
                <w:szCs w:val="22"/>
                <w:lang w:val="en-US"/>
              </w:rPr>
              <w:t>against:</w:t>
            </w:r>
          </w:p>
        </w:tc>
        <w:tc>
          <w:tcPr>
            <w:tcW w:w="1252" w:type="dxa"/>
          </w:tcPr>
          <w:p w:rsidR="000E69BC" w:rsidRPr="002C66D4" w:rsidRDefault="000E69BC" w:rsidP="002C66D4">
            <w:pPr>
              <w:pStyle w:val="Default"/>
              <w:spacing w:after="120"/>
              <w:jc w:val="both"/>
              <w:rPr>
                <w:sz w:val="22"/>
                <w:szCs w:val="22"/>
                <w:lang w:val="en-US"/>
              </w:rPr>
            </w:pPr>
            <w:r w:rsidRPr="002C66D4">
              <w:rPr>
                <w:sz w:val="22"/>
                <w:szCs w:val="22"/>
                <w:lang w:val="en-US"/>
              </w:rPr>
              <w:t>5,883,479</w:t>
            </w:r>
          </w:p>
        </w:tc>
        <w:tc>
          <w:tcPr>
            <w:tcW w:w="1278" w:type="dxa"/>
          </w:tcPr>
          <w:p w:rsidR="000E69BC" w:rsidRPr="002C66D4" w:rsidRDefault="000E69BC" w:rsidP="002C66D4">
            <w:pPr>
              <w:pStyle w:val="Default"/>
              <w:spacing w:after="120"/>
              <w:jc w:val="both"/>
              <w:rPr>
                <w:sz w:val="22"/>
                <w:szCs w:val="22"/>
                <w:lang w:val="en-US"/>
              </w:rPr>
            </w:pPr>
            <w:r w:rsidRPr="002C66D4">
              <w:rPr>
                <w:sz w:val="22"/>
                <w:szCs w:val="22"/>
                <w:lang w:val="en-US"/>
              </w:rPr>
              <w:t xml:space="preserve">abstained: </w:t>
            </w:r>
          </w:p>
        </w:tc>
        <w:tc>
          <w:tcPr>
            <w:tcW w:w="767" w:type="dxa"/>
          </w:tcPr>
          <w:p w:rsidR="000E69BC" w:rsidRPr="002C66D4" w:rsidRDefault="000E69BC" w:rsidP="002C66D4">
            <w:pPr>
              <w:pStyle w:val="Default"/>
              <w:spacing w:after="120"/>
              <w:jc w:val="both"/>
              <w:rPr>
                <w:sz w:val="22"/>
                <w:szCs w:val="22"/>
                <w:lang w:val="en-US"/>
              </w:rPr>
            </w:pPr>
            <w:r w:rsidRPr="002C66D4">
              <w:rPr>
                <w:sz w:val="22"/>
                <w:szCs w:val="22"/>
                <w:lang w:val="en-US"/>
              </w:rPr>
              <w:t>3,196</w:t>
            </w:r>
          </w:p>
        </w:tc>
      </w:tr>
    </w:tbl>
    <w:p w:rsidR="000E69BC" w:rsidRDefault="000E69BC" w:rsidP="00870DF4">
      <w:pPr>
        <w:pStyle w:val="Default"/>
        <w:jc w:val="both"/>
        <w:rPr>
          <w:b/>
          <w:bCs/>
          <w:sz w:val="22"/>
          <w:szCs w:val="22"/>
          <w:lang w:val="en-US"/>
        </w:rPr>
      </w:pPr>
    </w:p>
    <w:p w:rsidR="000E69BC" w:rsidRPr="00E56622" w:rsidRDefault="000E69BC" w:rsidP="00870DF4">
      <w:pPr>
        <w:pStyle w:val="Default"/>
        <w:spacing w:after="120"/>
        <w:jc w:val="both"/>
        <w:rPr>
          <w:sz w:val="22"/>
          <w:szCs w:val="22"/>
          <w:lang w:val="en-US"/>
        </w:rPr>
      </w:pPr>
    </w:p>
    <w:p w:rsidR="000E69BC" w:rsidRDefault="000E69BC" w:rsidP="00BA53CC">
      <w:pPr>
        <w:pStyle w:val="Default"/>
        <w:spacing w:after="120"/>
        <w:ind w:left="1260"/>
        <w:jc w:val="right"/>
      </w:pPr>
      <w:r>
        <w:rPr>
          <w:sz w:val="22"/>
          <w:szCs w:val="22"/>
        </w:rPr>
        <w:t xml:space="preserve">MAROUSI </w:t>
      </w:r>
      <w:r>
        <w:rPr>
          <w:sz w:val="22"/>
          <w:szCs w:val="22"/>
          <w:lang w:val="en-US"/>
        </w:rPr>
        <w:t>7</w:t>
      </w:r>
      <w:r>
        <w:rPr>
          <w:sz w:val="22"/>
          <w:szCs w:val="22"/>
        </w:rPr>
        <w:t>.</w:t>
      </w:r>
      <w:r>
        <w:rPr>
          <w:sz w:val="22"/>
          <w:szCs w:val="22"/>
          <w:lang w:val="en-US"/>
        </w:rPr>
        <w:t>7</w:t>
      </w:r>
      <w:r>
        <w:rPr>
          <w:sz w:val="22"/>
          <w:szCs w:val="22"/>
        </w:rPr>
        <w:t>.201</w:t>
      </w:r>
      <w:r>
        <w:rPr>
          <w:sz w:val="22"/>
          <w:szCs w:val="22"/>
          <w:lang w:val="en-US"/>
        </w:rPr>
        <w:t>7</w:t>
      </w:r>
    </w:p>
    <w:sectPr w:rsidR="000E69BC" w:rsidSect="000D0F94">
      <w:headerReference w:type="default" r:id="rId6"/>
      <w:headerReference w:type="first" r:id="rId7"/>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9BC" w:rsidRDefault="000E69BC">
      <w:pPr>
        <w:spacing w:after="0" w:line="240" w:lineRule="auto"/>
      </w:pPr>
      <w:r>
        <w:separator/>
      </w:r>
    </w:p>
  </w:endnote>
  <w:endnote w:type="continuationSeparator" w:id="1">
    <w:p w:rsidR="000E69BC" w:rsidRDefault="000E6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egoe UI">
    <w:panose1 w:val="00000000000000000000"/>
    <w:charset w:val="A1"/>
    <w:family w:val="swiss"/>
    <w:notTrueType/>
    <w:pitch w:val="variable"/>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9BC" w:rsidRDefault="000E69BC">
      <w:pPr>
        <w:spacing w:after="0" w:line="240" w:lineRule="auto"/>
      </w:pPr>
      <w:r>
        <w:separator/>
      </w:r>
    </w:p>
  </w:footnote>
  <w:footnote w:type="continuationSeparator" w:id="1">
    <w:p w:rsidR="000E69BC" w:rsidRDefault="000E6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BC" w:rsidRDefault="000E69BC" w:rsidP="000077A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BC" w:rsidRDefault="000E69BC">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ELPE_primaryLogo(LowRes)" style="position:absolute;margin-left:0;margin-top:20.5pt;width:111.75pt;height:71.25pt;z-index:-251656192;visibility:visible;mso-position-horizontal:center;mso-position-horizontal-relative:margin" wrapcoords="-145 0 -145 21373 21600 21373 21600 0 -145 0">
          <v:imagedata r:id="rId1" o:title=""/>
          <w10:wrap type="tight"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DF4"/>
    <w:rsid w:val="000077A7"/>
    <w:rsid w:val="000D0F94"/>
    <w:rsid w:val="000E69BC"/>
    <w:rsid w:val="001345B8"/>
    <w:rsid w:val="001658FC"/>
    <w:rsid w:val="002C66D4"/>
    <w:rsid w:val="00455DAE"/>
    <w:rsid w:val="004603D3"/>
    <w:rsid w:val="00477529"/>
    <w:rsid w:val="004D3A7D"/>
    <w:rsid w:val="004E6592"/>
    <w:rsid w:val="00517D78"/>
    <w:rsid w:val="005556C0"/>
    <w:rsid w:val="006065AE"/>
    <w:rsid w:val="00747DC9"/>
    <w:rsid w:val="007E378E"/>
    <w:rsid w:val="00870DF4"/>
    <w:rsid w:val="00982FE3"/>
    <w:rsid w:val="00B73F50"/>
    <w:rsid w:val="00BA53CC"/>
    <w:rsid w:val="00BF2BAC"/>
    <w:rsid w:val="00C06051"/>
    <w:rsid w:val="00C23C2D"/>
    <w:rsid w:val="00CC45C2"/>
    <w:rsid w:val="00D004D0"/>
    <w:rsid w:val="00DD7E77"/>
    <w:rsid w:val="00E56622"/>
    <w:rsid w:val="00EE367C"/>
    <w:rsid w:val="00F7765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F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70DF4"/>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870DF4"/>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870DF4"/>
    <w:rPr>
      <w:rFonts w:cs="Times New Roman"/>
    </w:rPr>
  </w:style>
  <w:style w:type="paragraph" w:styleId="BalloonText">
    <w:name w:val="Balloon Text"/>
    <w:basedOn w:val="Normal"/>
    <w:link w:val="BalloonTextChar"/>
    <w:uiPriority w:val="99"/>
    <w:semiHidden/>
    <w:rsid w:val="00C2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3C2D"/>
    <w:rPr>
      <w:rFonts w:ascii="Segoe UI" w:hAnsi="Segoe UI" w:cs="Segoe UI"/>
      <w:sz w:val="18"/>
      <w:szCs w:val="18"/>
    </w:rPr>
  </w:style>
  <w:style w:type="paragraph" w:styleId="Footer">
    <w:name w:val="footer"/>
    <w:basedOn w:val="Normal"/>
    <w:link w:val="FooterChar"/>
    <w:uiPriority w:val="99"/>
    <w:rsid w:val="005556C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556C0"/>
    <w:rPr>
      <w:rFonts w:cs="Times New Roman"/>
    </w:rPr>
  </w:style>
  <w:style w:type="table" w:styleId="TableGrid">
    <w:name w:val="Table Grid"/>
    <w:basedOn w:val="TableNormal"/>
    <w:uiPriority w:val="99"/>
    <w:rsid w:val="005556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279</Words>
  <Characters>1507</Characters>
  <Application>Microsoft Office Outlook</Application>
  <DocSecurity>0</DocSecurity>
  <Lines>0</Lines>
  <Paragraphs>0</Paragraphs>
  <ScaleCrop>false</ScaleCrop>
  <Company>Hellenic Petroleum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Stampoultzi Christina</dc:creator>
  <cp:keywords/>
  <dc:description/>
  <cp:lastModifiedBy>gkoronaios</cp:lastModifiedBy>
  <cp:revision>10</cp:revision>
  <dcterms:created xsi:type="dcterms:W3CDTF">2017-07-07T07:16:00Z</dcterms:created>
  <dcterms:modified xsi:type="dcterms:W3CDTF">2017-07-07T11:19:00Z</dcterms:modified>
</cp:coreProperties>
</file>