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5D0" w:rsidRDefault="009805D0">
      <w:pPr>
        <w:pStyle w:val="Header"/>
        <w:tabs>
          <w:tab w:val="clear" w:pos="4153"/>
          <w:tab w:val="clear" w:pos="8306"/>
        </w:tabs>
        <w:ind w:left="-850" w:right="-850"/>
        <w:jc w:val="both"/>
        <w:rPr>
          <w:rFonts w:ascii="Tahoma" w:hAnsi="Tahoma" w:cs="Tahoma"/>
          <w:sz w:val="8"/>
          <w:szCs w:val="8"/>
          <w:lang w:val="el-GR"/>
        </w:rPr>
      </w:pPr>
    </w:p>
    <w:p w:rsidR="009805D0" w:rsidRDefault="009805D0">
      <w:pPr>
        <w:pStyle w:val="Header"/>
        <w:tabs>
          <w:tab w:val="clear" w:pos="4153"/>
          <w:tab w:val="clear" w:pos="8306"/>
        </w:tabs>
        <w:ind w:left="-850" w:right="-850"/>
        <w:jc w:val="both"/>
        <w:rPr>
          <w:rFonts w:ascii="Tahoma" w:hAnsi="Tahoma" w:cs="Tahoma"/>
          <w:sz w:val="16"/>
          <w:szCs w:val="16"/>
          <w:lang w:val="el-GR"/>
        </w:rPr>
        <w:sectPr w:rsidR="009805D0">
          <w:headerReference w:type="default" r:id="rId7"/>
          <w:footerReference w:type="default" r:id="rId8"/>
          <w:headerReference w:type="first" r:id="rId9"/>
          <w:footerReference w:type="first" r:id="rId10"/>
          <w:pgSz w:w="11906" w:h="16838" w:code="9"/>
          <w:pgMar w:top="1440" w:right="1800" w:bottom="864" w:left="1800" w:header="706" w:footer="259" w:gutter="0"/>
          <w:cols w:space="708"/>
          <w:titlePg/>
          <w:docGrid w:linePitch="360"/>
        </w:sectPr>
      </w:pPr>
    </w:p>
    <w:p w:rsidR="009805D0" w:rsidRPr="00F9463C" w:rsidRDefault="009805D0" w:rsidP="00E7290F">
      <w:pPr>
        <w:spacing w:before="100" w:beforeAutospacing="1" w:after="100" w:afterAutospacing="1"/>
        <w:jc w:val="center"/>
        <w:rPr>
          <w:rFonts w:ascii="Calibri" w:hAnsi="Calibri" w:cs="Calibri"/>
          <w:b/>
          <w:bCs/>
          <w:lang w:val="en-US" w:eastAsia="el-GR"/>
        </w:rPr>
      </w:pPr>
      <w:bookmarkStart w:id="0" w:name="_GoBack"/>
      <w:bookmarkEnd w:id="0"/>
      <w:r w:rsidRPr="006C1EF6">
        <w:rPr>
          <w:rFonts w:ascii="Calibri" w:hAnsi="Calibri" w:cs="Calibri"/>
          <w:b/>
          <w:bCs/>
          <w:lang w:val="en-US" w:eastAsia="el-GR"/>
        </w:rPr>
        <w:lastRenderedPageBreak/>
        <w:t>AVAX</w:t>
      </w:r>
      <w:r w:rsidRPr="00F9463C">
        <w:rPr>
          <w:rFonts w:ascii="Calibri" w:hAnsi="Calibri" w:cs="Calibri"/>
          <w:b/>
          <w:bCs/>
          <w:lang w:val="en-US" w:eastAsia="el-GR"/>
        </w:rPr>
        <w:t xml:space="preserve"> </w:t>
      </w:r>
      <w:r w:rsidRPr="006C1EF6">
        <w:rPr>
          <w:rFonts w:ascii="Calibri" w:hAnsi="Calibri" w:cs="Calibri"/>
          <w:b/>
          <w:bCs/>
          <w:lang w:val="en-US" w:eastAsia="el-GR"/>
        </w:rPr>
        <w:t>SA</w:t>
      </w:r>
    </w:p>
    <w:p w:rsidR="009805D0" w:rsidRPr="006C1EF6" w:rsidRDefault="009805D0" w:rsidP="000E0A29">
      <w:pPr>
        <w:spacing w:before="100" w:beforeAutospacing="1" w:after="100" w:afterAutospacing="1"/>
        <w:jc w:val="center"/>
        <w:rPr>
          <w:rFonts w:ascii="Calibri" w:hAnsi="Calibri" w:cs="Calibri"/>
          <w:b/>
          <w:bCs/>
          <w:lang w:eastAsia="el-GR"/>
        </w:rPr>
      </w:pPr>
      <w:r w:rsidRPr="006C1EF6">
        <w:rPr>
          <w:rFonts w:ascii="Calibri" w:hAnsi="Calibri" w:cs="Calibri"/>
          <w:b/>
          <w:bCs/>
          <w:lang w:val="en-US" w:eastAsia="el-GR"/>
        </w:rPr>
        <w:t>SHARE</w:t>
      </w:r>
      <w:r w:rsidRPr="006C1EF6">
        <w:rPr>
          <w:rFonts w:ascii="Calibri" w:hAnsi="Calibri" w:cs="Calibri"/>
          <w:b/>
          <w:bCs/>
          <w:lang w:eastAsia="el-GR"/>
        </w:rPr>
        <w:t xml:space="preserve"> </w:t>
      </w:r>
      <w:r w:rsidRPr="006C1EF6">
        <w:rPr>
          <w:rFonts w:ascii="Calibri" w:hAnsi="Calibri" w:cs="Calibri"/>
          <w:b/>
          <w:bCs/>
          <w:lang w:val="en-US" w:eastAsia="el-GR"/>
        </w:rPr>
        <w:t>CAPITAL</w:t>
      </w:r>
      <w:r w:rsidRPr="006C1EF6">
        <w:rPr>
          <w:rFonts w:ascii="Calibri" w:hAnsi="Calibri" w:cs="Calibri"/>
          <w:b/>
          <w:bCs/>
          <w:lang w:eastAsia="el-GR"/>
        </w:rPr>
        <w:t xml:space="preserve"> </w:t>
      </w:r>
      <w:r w:rsidRPr="006C1EF6">
        <w:rPr>
          <w:rFonts w:ascii="Calibri" w:hAnsi="Calibri" w:cs="Calibri"/>
          <w:b/>
          <w:bCs/>
          <w:lang w:val="en-US" w:eastAsia="el-GR"/>
        </w:rPr>
        <w:t>INCREASE</w:t>
      </w:r>
      <w:r w:rsidRPr="006C1EF6">
        <w:rPr>
          <w:rFonts w:ascii="Calibri" w:hAnsi="Calibri" w:cs="Calibri"/>
          <w:b/>
          <w:bCs/>
          <w:lang w:eastAsia="el-GR"/>
        </w:rPr>
        <w:t xml:space="preserve"> </w:t>
      </w:r>
      <w:r w:rsidRPr="006C1EF6">
        <w:rPr>
          <w:rFonts w:ascii="Calibri" w:hAnsi="Calibri" w:cs="Calibri"/>
          <w:b/>
          <w:bCs/>
          <w:lang w:val="en-US" w:eastAsia="el-GR"/>
        </w:rPr>
        <w:t>WITH</w:t>
      </w:r>
      <w:r w:rsidRPr="006C1EF6">
        <w:rPr>
          <w:rFonts w:ascii="Calibri" w:hAnsi="Calibri" w:cs="Calibri"/>
          <w:b/>
          <w:bCs/>
          <w:lang w:eastAsia="el-GR"/>
        </w:rPr>
        <w:t xml:space="preserve"> </w:t>
      </w:r>
      <w:r w:rsidRPr="006C1EF6">
        <w:rPr>
          <w:rFonts w:ascii="Calibri" w:hAnsi="Calibri" w:cs="Calibri"/>
          <w:b/>
          <w:bCs/>
          <w:lang w:val="en-US" w:eastAsia="el-GR"/>
        </w:rPr>
        <w:t>RIGHTS</w:t>
      </w:r>
      <w:r w:rsidRPr="006C1EF6">
        <w:rPr>
          <w:rFonts w:ascii="Calibri" w:hAnsi="Calibri" w:cs="Calibri"/>
          <w:b/>
          <w:bCs/>
          <w:lang w:eastAsia="el-GR"/>
        </w:rPr>
        <w:t xml:space="preserve"> </w:t>
      </w:r>
      <w:r w:rsidRPr="006C1EF6">
        <w:rPr>
          <w:rFonts w:ascii="Calibri" w:hAnsi="Calibri" w:cs="Calibri"/>
          <w:b/>
          <w:bCs/>
          <w:lang w:val="en-US" w:eastAsia="el-GR"/>
        </w:rPr>
        <w:t>ISSUE</w:t>
      </w:r>
      <w:r w:rsidRPr="006C1EF6">
        <w:rPr>
          <w:rFonts w:ascii="Calibri" w:hAnsi="Calibri" w:cs="Calibri"/>
          <w:b/>
          <w:bCs/>
          <w:lang w:eastAsia="el-GR"/>
        </w:rPr>
        <w:t xml:space="preserve"> </w:t>
      </w:r>
      <w:r w:rsidRPr="006C1EF6">
        <w:rPr>
          <w:rFonts w:ascii="Calibri" w:hAnsi="Calibri" w:cs="Calibri"/>
          <w:b/>
          <w:bCs/>
          <w:lang w:val="en-US" w:eastAsia="el-GR"/>
        </w:rPr>
        <w:t>FOR</w:t>
      </w:r>
      <w:r w:rsidRPr="006C1EF6">
        <w:rPr>
          <w:rFonts w:ascii="Calibri" w:hAnsi="Calibri" w:cs="Calibri"/>
          <w:b/>
          <w:bCs/>
          <w:lang w:eastAsia="el-GR"/>
        </w:rPr>
        <w:t xml:space="preserve"> </w:t>
      </w:r>
      <w:r w:rsidRPr="006C1EF6">
        <w:rPr>
          <w:rFonts w:ascii="Calibri" w:hAnsi="Calibri" w:cs="Calibri"/>
          <w:b/>
          <w:bCs/>
          <w:lang w:val="en-US" w:eastAsia="el-GR"/>
        </w:rPr>
        <w:t>CURRENT SHAREHOLDERS</w:t>
      </w:r>
      <w:r w:rsidRPr="006C1EF6">
        <w:rPr>
          <w:rFonts w:ascii="Calibri" w:hAnsi="Calibri" w:cs="Calibri"/>
          <w:b/>
          <w:bCs/>
          <w:lang w:eastAsia="el-GR"/>
        </w:rPr>
        <w:t xml:space="preserve"> </w:t>
      </w:r>
    </w:p>
    <w:p w:rsidR="009805D0" w:rsidRPr="006C1EF6" w:rsidRDefault="009805D0" w:rsidP="000E0A29">
      <w:pPr>
        <w:spacing w:after="40"/>
        <w:rPr>
          <w:rFonts w:ascii="Calibri" w:hAnsi="Calibri" w:cs="Calibri"/>
          <w:lang w:eastAsia="el-GR"/>
        </w:rPr>
      </w:pPr>
      <w:r w:rsidRPr="006C1EF6">
        <w:rPr>
          <w:rFonts w:ascii="Calibri" w:hAnsi="Calibri" w:cs="Calibri"/>
          <w:b/>
          <w:bCs/>
          <w:lang w:val="en-US" w:eastAsia="el-GR"/>
        </w:rPr>
        <w:t>SHARES TRADING EX-RIGHTS</w:t>
      </w:r>
      <w:r w:rsidRPr="006C1EF6">
        <w:rPr>
          <w:rFonts w:ascii="Calibri" w:hAnsi="Calibri" w:cs="Calibri"/>
          <w:b/>
          <w:bCs/>
          <w:lang w:eastAsia="el-GR"/>
        </w:rPr>
        <w:t xml:space="preserve"> : 22.01.2020</w:t>
      </w:r>
    </w:p>
    <w:p w:rsidR="009805D0" w:rsidRPr="006C1EF6" w:rsidRDefault="009805D0" w:rsidP="000E0A29">
      <w:pPr>
        <w:spacing w:after="40"/>
        <w:rPr>
          <w:rFonts w:ascii="Calibri" w:hAnsi="Calibri" w:cs="Calibri"/>
          <w:lang w:eastAsia="el-GR"/>
        </w:rPr>
      </w:pPr>
      <w:r w:rsidRPr="006C1EF6">
        <w:rPr>
          <w:rFonts w:ascii="Calibri" w:hAnsi="Calibri" w:cs="Calibri"/>
          <w:b/>
          <w:bCs/>
          <w:lang w:val="en-US" w:eastAsia="el-GR"/>
        </w:rPr>
        <w:t>EXERCISE PERIOD FOR RIGHTS</w:t>
      </w:r>
      <w:r w:rsidRPr="006C1EF6">
        <w:rPr>
          <w:rFonts w:ascii="Calibri" w:hAnsi="Calibri" w:cs="Calibri"/>
          <w:b/>
          <w:bCs/>
          <w:lang w:eastAsia="el-GR"/>
        </w:rPr>
        <w:t>:  27.01.2020 – 10.02.2020</w:t>
      </w:r>
    </w:p>
    <w:p w:rsidR="009805D0" w:rsidRPr="00F9463C" w:rsidRDefault="009805D0" w:rsidP="000E0A29">
      <w:pPr>
        <w:spacing w:after="40"/>
        <w:rPr>
          <w:rFonts w:ascii="Calibri" w:hAnsi="Calibri" w:cs="Calibri"/>
          <w:b/>
          <w:bCs/>
          <w:lang w:val="en-US" w:eastAsia="el-GR"/>
        </w:rPr>
      </w:pPr>
      <w:r w:rsidRPr="006C1EF6">
        <w:rPr>
          <w:rFonts w:ascii="Calibri" w:hAnsi="Calibri" w:cs="Calibri"/>
          <w:b/>
          <w:bCs/>
          <w:lang w:val="en-US" w:eastAsia="el-GR"/>
        </w:rPr>
        <w:t>TRADING</w:t>
      </w:r>
      <w:r w:rsidRPr="00F9463C">
        <w:rPr>
          <w:rFonts w:ascii="Calibri" w:hAnsi="Calibri" w:cs="Calibri"/>
          <w:b/>
          <w:bCs/>
          <w:lang w:val="en-US" w:eastAsia="el-GR"/>
        </w:rPr>
        <w:t xml:space="preserve"> </w:t>
      </w:r>
      <w:r w:rsidRPr="006C1EF6">
        <w:rPr>
          <w:rFonts w:ascii="Calibri" w:hAnsi="Calibri" w:cs="Calibri"/>
          <w:b/>
          <w:bCs/>
          <w:lang w:val="en-US" w:eastAsia="el-GR"/>
        </w:rPr>
        <w:t>PERIOD</w:t>
      </w:r>
      <w:r w:rsidRPr="00F9463C">
        <w:rPr>
          <w:rFonts w:ascii="Calibri" w:hAnsi="Calibri" w:cs="Calibri"/>
          <w:b/>
          <w:bCs/>
          <w:lang w:val="en-US" w:eastAsia="el-GR"/>
        </w:rPr>
        <w:t xml:space="preserve"> </w:t>
      </w:r>
      <w:r w:rsidRPr="006C1EF6">
        <w:rPr>
          <w:rFonts w:ascii="Calibri" w:hAnsi="Calibri" w:cs="Calibri"/>
          <w:b/>
          <w:bCs/>
          <w:lang w:val="en-US" w:eastAsia="el-GR"/>
        </w:rPr>
        <w:t>FOR</w:t>
      </w:r>
      <w:r w:rsidRPr="00F9463C">
        <w:rPr>
          <w:rFonts w:ascii="Calibri" w:hAnsi="Calibri" w:cs="Calibri"/>
          <w:b/>
          <w:bCs/>
          <w:lang w:val="en-US" w:eastAsia="el-GR"/>
        </w:rPr>
        <w:t xml:space="preserve"> </w:t>
      </w:r>
      <w:r w:rsidRPr="006C1EF6">
        <w:rPr>
          <w:rFonts w:ascii="Calibri" w:hAnsi="Calibri" w:cs="Calibri"/>
          <w:b/>
          <w:bCs/>
          <w:lang w:val="en-US" w:eastAsia="el-GR"/>
        </w:rPr>
        <w:t>RIGHTS</w:t>
      </w:r>
      <w:r w:rsidRPr="00F9463C">
        <w:rPr>
          <w:rFonts w:ascii="Calibri" w:hAnsi="Calibri" w:cs="Calibri"/>
          <w:b/>
          <w:bCs/>
          <w:lang w:val="en-US" w:eastAsia="el-GR"/>
        </w:rPr>
        <w:t>: 27.01.2020 - 05.02.2020</w:t>
      </w:r>
    </w:p>
    <w:p w:rsidR="009805D0" w:rsidRPr="00F9463C" w:rsidRDefault="009805D0" w:rsidP="000E0A29">
      <w:pPr>
        <w:rPr>
          <w:rFonts w:ascii="Calibri" w:hAnsi="Calibri" w:cs="Calibri"/>
          <w:bCs/>
          <w:lang w:val="en-US" w:eastAsia="el-GR"/>
        </w:rPr>
      </w:pPr>
    </w:p>
    <w:p w:rsidR="009805D0" w:rsidRPr="006C1EF6" w:rsidRDefault="009805D0" w:rsidP="00A34303">
      <w:pPr>
        <w:jc w:val="both"/>
        <w:rPr>
          <w:rFonts w:ascii="Calibri" w:hAnsi="Calibri" w:cs="Arial"/>
          <w:lang w:val="en-US"/>
        </w:rPr>
      </w:pPr>
      <w:r w:rsidRPr="006C1EF6">
        <w:rPr>
          <w:rFonts w:ascii="Calibri" w:hAnsi="Calibri" w:cs="Arial"/>
          <w:b/>
          <w:bCs/>
          <w:lang w:val="en-US"/>
        </w:rPr>
        <w:t>AVAX</w:t>
      </w:r>
      <w:r w:rsidRPr="006C1EF6">
        <w:rPr>
          <w:rFonts w:ascii="Calibri" w:hAnsi="Calibri" w:cs="Arial"/>
          <w:b/>
          <w:bCs/>
        </w:rPr>
        <w:t xml:space="preserve"> </w:t>
      </w:r>
      <w:r w:rsidRPr="006C1EF6">
        <w:rPr>
          <w:rFonts w:ascii="Calibri" w:hAnsi="Calibri" w:cs="Arial"/>
          <w:b/>
          <w:bCs/>
          <w:lang w:val="en-US"/>
        </w:rPr>
        <w:t>SA</w:t>
      </w:r>
      <w:r w:rsidRPr="006C1EF6">
        <w:rPr>
          <w:rFonts w:ascii="Calibri" w:hAnsi="Calibri" w:cs="Arial"/>
        </w:rPr>
        <w:t xml:space="preserve"> (</w:t>
      </w:r>
      <w:r w:rsidRPr="006C1EF6">
        <w:rPr>
          <w:rFonts w:ascii="Calibri" w:hAnsi="Calibri" w:cs="Arial"/>
          <w:lang w:val="en-US"/>
        </w:rPr>
        <w:t>hereinafter</w:t>
      </w:r>
      <w:r w:rsidRPr="006C1EF6">
        <w:rPr>
          <w:rFonts w:ascii="Calibri" w:hAnsi="Calibri" w:cs="Arial"/>
        </w:rPr>
        <w:t xml:space="preserve"> referred to as </w:t>
      </w:r>
      <w:r w:rsidRPr="006C1EF6">
        <w:rPr>
          <w:rFonts w:ascii="Calibri" w:hAnsi="Calibri" w:cs="Arial"/>
          <w:lang w:val="en-US"/>
        </w:rPr>
        <w:t>the</w:t>
      </w:r>
      <w:r w:rsidRPr="006C1EF6">
        <w:rPr>
          <w:rFonts w:ascii="Calibri" w:hAnsi="Calibri" w:cs="Arial"/>
        </w:rPr>
        <w:t xml:space="preserve"> «</w:t>
      </w:r>
      <w:r w:rsidRPr="006C1EF6">
        <w:rPr>
          <w:rFonts w:ascii="Calibri" w:hAnsi="Calibri" w:cs="Arial"/>
          <w:b/>
          <w:bCs/>
          <w:lang w:val="en-US"/>
        </w:rPr>
        <w:t>Company</w:t>
      </w:r>
      <w:r w:rsidRPr="006C1EF6">
        <w:rPr>
          <w:rFonts w:ascii="Calibri" w:hAnsi="Calibri" w:cs="Arial"/>
        </w:rPr>
        <w:t xml:space="preserve">») </w:t>
      </w:r>
      <w:r w:rsidRPr="006C1EF6">
        <w:rPr>
          <w:rFonts w:ascii="Calibri" w:hAnsi="Calibri" w:cs="Arial"/>
          <w:lang w:val="en-US"/>
        </w:rPr>
        <w:t>announces the following to its shareholders:</w:t>
      </w:r>
    </w:p>
    <w:p w:rsidR="009805D0" w:rsidRPr="006C1EF6" w:rsidRDefault="009805D0" w:rsidP="00A34303">
      <w:pPr>
        <w:spacing w:before="120"/>
        <w:jc w:val="both"/>
        <w:rPr>
          <w:rFonts w:ascii="Calibri" w:hAnsi="Calibri" w:cs="Calibri"/>
          <w:lang w:eastAsia="el-GR"/>
        </w:rPr>
      </w:pPr>
      <w:r w:rsidRPr="006C1EF6">
        <w:rPr>
          <w:rFonts w:ascii="Calibri" w:hAnsi="Calibri" w:cs="Calibri"/>
          <w:lang w:eastAsia="el-GR"/>
        </w:rPr>
        <w:t>Pursuant to the decision of the Repeat Extraordinary General Meeting of the Company's shareholders dated 26.09.2019 in conjunction with the decision of the Company's Board of Directors dated 15.01.2020, it was decided, inter alia, to increase the share capital of the Company up to € 19</w:t>
      </w:r>
      <w:r w:rsidRPr="006C1EF6">
        <w:rPr>
          <w:rFonts w:ascii="Calibri" w:hAnsi="Calibri" w:cs="Calibri"/>
          <w:lang w:val="en-US" w:eastAsia="el-GR"/>
        </w:rPr>
        <w:t>,</w:t>
      </w:r>
      <w:r w:rsidRPr="006C1EF6">
        <w:rPr>
          <w:rFonts w:ascii="Calibri" w:hAnsi="Calibri" w:cs="Calibri"/>
          <w:lang w:eastAsia="el-GR"/>
        </w:rPr>
        <w:t>999</w:t>
      </w:r>
      <w:r w:rsidRPr="006C1EF6">
        <w:rPr>
          <w:rFonts w:ascii="Calibri" w:hAnsi="Calibri" w:cs="Calibri"/>
          <w:lang w:val="en-US" w:eastAsia="el-GR"/>
        </w:rPr>
        <w:t>,</w:t>
      </w:r>
      <w:r w:rsidRPr="006C1EF6">
        <w:rPr>
          <w:rFonts w:ascii="Calibri" w:hAnsi="Calibri" w:cs="Calibri"/>
          <w:lang w:eastAsia="el-GR"/>
        </w:rPr>
        <w:t>999.80 with cash payment and preference right of the old shareholders in the ratio of 0</w:t>
      </w:r>
      <w:r>
        <w:rPr>
          <w:rFonts w:ascii="Calibri" w:hAnsi="Calibri" w:cs="Calibri"/>
          <w:lang w:eastAsia="el-GR"/>
        </w:rPr>
        <w:t>.</w:t>
      </w:r>
      <w:r w:rsidRPr="006C1EF6">
        <w:rPr>
          <w:rFonts w:ascii="Calibri" w:hAnsi="Calibri" w:cs="Calibri"/>
          <w:lang w:eastAsia="el-GR"/>
        </w:rPr>
        <w:t>85849970735 new shares for every 1 existing share. More specifically, it was decided to issue through public offer up to 66,666,666 new intangible ordinary voting shares with a nominal value of €0.30 each (the “</w:t>
      </w:r>
      <w:r w:rsidRPr="006C1EF6">
        <w:rPr>
          <w:rFonts w:ascii="Calibri" w:hAnsi="Calibri" w:cs="Calibri"/>
          <w:b/>
          <w:lang w:eastAsia="el-GR"/>
        </w:rPr>
        <w:t>New Shares</w:t>
      </w:r>
      <w:r w:rsidRPr="006C1EF6">
        <w:rPr>
          <w:rFonts w:ascii="Calibri" w:hAnsi="Calibri" w:cs="Calibri"/>
          <w:lang w:eastAsia="el-GR"/>
        </w:rPr>
        <w:t>”) and a bid price of € 0.30 (the “</w:t>
      </w:r>
      <w:r w:rsidRPr="006C1EF6">
        <w:rPr>
          <w:rFonts w:ascii="Calibri" w:hAnsi="Calibri" w:cs="Calibri"/>
          <w:b/>
          <w:lang w:eastAsia="el-GR"/>
        </w:rPr>
        <w:t>Offer Price</w:t>
      </w:r>
      <w:r w:rsidRPr="006C1EF6">
        <w:rPr>
          <w:rFonts w:ascii="Calibri" w:hAnsi="Calibri" w:cs="Calibri"/>
          <w:lang w:eastAsia="el-GR"/>
        </w:rPr>
        <w:t>”) for each new share (hereinafter "</w:t>
      </w:r>
      <w:r w:rsidRPr="006C1EF6">
        <w:rPr>
          <w:rFonts w:ascii="Calibri" w:hAnsi="Calibri" w:cs="Calibri"/>
          <w:b/>
          <w:lang w:eastAsia="el-GR"/>
        </w:rPr>
        <w:t>Capital Increase</w:t>
      </w:r>
      <w:r w:rsidRPr="006C1EF6">
        <w:rPr>
          <w:rFonts w:ascii="Calibri" w:hAnsi="Calibri" w:cs="Calibri"/>
          <w:lang w:eastAsia="el-GR"/>
        </w:rPr>
        <w:t>").</w:t>
      </w:r>
    </w:p>
    <w:p w:rsidR="009805D0" w:rsidRPr="006C1EF6" w:rsidRDefault="009805D0" w:rsidP="00A34303">
      <w:pPr>
        <w:spacing w:before="120"/>
        <w:jc w:val="both"/>
        <w:rPr>
          <w:rStyle w:val="tlid-translationtranslation"/>
          <w:rFonts w:ascii="Calibri" w:hAnsi="Calibri"/>
        </w:rPr>
      </w:pPr>
      <w:r w:rsidRPr="006C1EF6">
        <w:rPr>
          <w:rStyle w:val="tlid-translationtranslation"/>
          <w:rFonts w:ascii="Calibri" w:hAnsi="Calibri"/>
        </w:rPr>
        <w:t>Following the completion of the Increase, and in the event is fully subscribed, the Company's share capital will amount to €43,296,454.80 and will be divided into 144,321,516 shares, with a nominal value of €0.30 each. The total funds raised, in case of full coverage, will amount to € 19,999,999.80.</w:t>
      </w:r>
    </w:p>
    <w:p w:rsidR="009805D0" w:rsidRPr="006C1EF6" w:rsidRDefault="009805D0" w:rsidP="00A34303">
      <w:pPr>
        <w:spacing w:before="120"/>
        <w:jc w:val="both"/>
        <w:rPr>
          <w:rFonts w:ascii="Calibri" w:hAnsi="Calibri" w:cs="Calibri"/>
          <w:lang w:val="en-US" w:eastAsia="el-GR"/>
        </w:rPr>
      </w:pPr>
      <w:r w:rsidRPr="006C1EF6">
        <w:rPr>
          <w:rStyle w:val="tlid-translationtranslation"/>
          <w:rFonts w:ascii="Calibri" w:hAnsi="Calibri"/>
        </w:rPr>
        <w:t>Posted on 09.10.2019 in Greece’s General Commercial Registry (GEMI) with registration No. 1806528 or by number 102005 / 09-10-2019 (appoint: 6KL465XI8-DDE) is a decision of the Ministry of Development and Investments approving the increase of the share capital by cash payment and the relevant amendment of article 5 of its Articles of Association Company.</w:t>
      </w:r>
    </w:p>
    <w:p w:rsidR="009805D0" w:rsidRPr="006C1EF6" w:rsidRDefault="009805D0" w:rsidP="00A34303">
      <w:pPr>
        <w:spacing w:before="120"/>
        <w:jc w:val="both"/>
        <w:rPr>
          <w:rFonts w:ascii="Calibri" w:hAnsi="Calibri" w:cs="Calibri"/>
          <w:b/>
          <w:lang w:val="en-US" w:eastAsia="el-GR"/>
        </w:rPr>
      </w:pPr>
      <w:r w:rsidRPr="006C1EF6">
        <w:rPr>
          <w:rFonts w:ascii="Calibri" w:hAnsi="Calibri" w:cs="Calibri"/>
          <w:b/>
          <w:lang w:val="en-US" w:eastAsia="el-GR"/>
        </w:rPr>
        <w:t>Ex-rights date and rights trading period</w:t>
      </w:r>
    </w:p>
    <w:p w:rsidR="009805D0" w:rsidRPr="006C1EF6" w:rsidRDefault="009805D0" w:rsidP="00A34303">
      <w:pPr>
        <w:spacing w:before="120"/>
        <w:jc w:val="both"/>
        <w:rPr>
          <w:rStyle w:val="tlid-translationtranslation"/>
          <w:rFonts w:ascii="Calibri" w:hAnsi="Calibri"/>
        </w:rPr>
      </w:pPr>
      <w:r w:rsidRPr="006C1EF6">
        <w:rPr>
          <w:rStyle w:val="tlid-translationtranslation"/>
          <w:rFonts w:ascii="Calibri" w:hAnsi="Calibri"/>
        </w:rPr>
        <w:t>The ex-rights date for the shares is 22.01.2020. From the same date (22.01.2020), the Company's existing shares will start trading on the Athens Stock Exchange (the "</w:t>
      </w:r>
      <w:r w:rsidRPr="006C1EF6">
        <w:rPr>
          <w:rStyle w:val="tlid-translationtranslation"/>
          <w:rFonts w:ascii="Calibri" w:hAnsi="Calibri"/>
          <w:b/>
        </w:rPr>
        <w:t>Athens Bourse</w:t>
      </w:r>
      <w:r w:rsidRPr="006C1EF6">
        <w:rPr>
          <w:rStyle w:val="tlid-translationtranslation"/>
          <w:rFonts w:ascii="Calibri" w:hAnsi="Calibri"/>
        </w:rPr>
        <w:t>") without the right to participate in the Capital Increase and the starting price of the Company's existing shares listed on the Athens Bourse will be adjusted in accordance with the Athens Bourse Regulation, in conjunction with the Athens Bourse’s Decision #26 of the Board of Directors, as applicable.</w:t>
      </w:r>
    </w:p>
    <w:p w:rsidR="009805D0" w:rsidRPr="006C1EF6" w:rsidRDefault="009805D0" w:rsidP="00A34303">
      <w:pPr>
        <w:spacing w:before="120"/>
        <w:jc w:val="both"/>
        <w:rPr>
          <w:rStyle w:val="tlid-translationtranslation"/>
          <w:rFonts w:ascii="Calibri" w:hAnsi="Calibri"/>
        </w:rPr>
      </w:pPr>
      <w:r w:rsidRPr="006C1EF6">
        <w:rPr>
          <w:rStyle w:val="tlid-translationtranslation"/>
          <w:rFonts w:ascii="Calibri" w:hAnsi="Calibri"/>
        </w:rPr>
        <w:t>The Offer Price of the New Shares may be higher than the market price when they start trading ex-rights, in accordance with the provisions of the Athens Bourse Regulations.</w:t>
      </w:r>
    </w:p>
    <w:p w:rsidR="009805D0" w:rsidRPr="006C1EF6" w:rsidRDefault="009805D0" w:rsidP="00A34303">
      <w:pPr>
        <w:spacing w:before="120"/>
        <w:jc w:val="both"/>
        <w:rPr>
          <w:rStyle w:val="tlid-translationtranslation"/>
          <w:rFonts w:ascii="Calibri" w:hAnsi="Calibri"/>
        </w:rPr>
      </w:pPr>
      <w:r w:rsidRPr="006C1EF6">
        <w:rPr>
          <w:rStyle w:val="tlid-translationtranslation"/>
          <w:rFonts w:ascii="Calibri" w:hAnsi="Calibri"/>
        </w:rPr>
        <w:t>Shareholders entitled to the rights issue are those registered in the Intangible Securities System (“</w:t>
      </w:r>
      <w:r w:rsidRPr="006C1EF6">
        <w:rPr>
          <w:rStyle w:val="tlid-translationtranslation"/>
          <w:rFonts w:ascii="Calibri" w:hAnsi="Calibri"/>
          <w:b/>
        </w:rPr>
        <w:t>SAT</w:t>
      </w:r>
      <w:r w:rsidRPr="006C1EF6">
        <w:rPr>
          <w:rStyle w:val="tlid-translationtranslation"/>
          <w:rFonts w:ascii="Calibri" w:hAnsi="Calibri"/>
        </w:rPr>
        <w:t>”) records on 23.01.2020 (record date) for the Company, along with those investors who will acquire rights during the trading period of the rights.</w:t>
      </w:r>
    </w:p>
    <w:p w:rsidR="009805D0" w:rsidRPr="006C1EF6" w:rsidRDefault="009805D0" w:rsidP="00A34303">
      <w:pPr>
        <w:spacing w:before="120"/>
        <w:jc w:val="both"/>
        <w:rPr>
          <w:rStyle w:val="tlid-translationtranslation"/>
          <w:rFonts w:ascii="Calibri" w:hAnsi="Calibri"/>
        </w:rPr>
      </w:pPr>
      <w:r w:rsidRPr="006C1EF6">
        <w:rPr>
          <w:rStyle w:val="tlid-translationtranslation"/>
          <w:rFonts w:ascii="Calibri" w:hAnsi="Calibri"/>
        </w:rPr>
        <w:t>The exercise period of rights is set from 27.01.2020 to 10.02.2020. The start of trading of rights on the Athens Bourse’s trading system coincides with the beginning of their exercise period.</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It is noted that rights will not be traded in the last three (3) business days prior to the expiry of the exercise period.</w:t>
      </w:r>
      <w:r w:rsidRPr="006C1EF6">
        <w:rPr>
          <w:rFonts w:ascii="Calibri" w:hAnsi="Calibri"/>
        </w:rPr>
        <w:br/>
        <w:t>T</w:t>
      </w:r>
      <w:r w:rsidRPr="006C1EF6">
        <w:rPr>
          <w:rStyle w:val="tlid-translationtranslation"/>
          <w:rFonts w:ascii="Calibri" w:hAnsi="Calibri"/>
        </w:rPr>
        <w:t>rading of rights on the Athens Bourse’s trading system will end at thee close of the session on 05.02.2020.</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Rights to acquire New Shares are transferable and will be traded on the Athens Bourse. Rights will be credited to investor accounts on the date of start of trading. Rights not exercised by the end of the exercise period, ie up to and inclusive of 10.02.2020, will be invalidated.</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 xml:space="preserve">The exercise of rights will take place during the business days and hours, throughout the exercise period, either through their investor account operator (Brokerage or Custodian) or directly at Alpha Bank branches (for those shareholders who </w:t>
      </w:r>
      <w:r w:rsidRPr="006C1EF6">
        <w:rPr>
          <w:rStyle w:val="tlid-translationtranslation"/>
          <w:rFonts w:ascii="Calibri" w:hAnsi="Calibri"/>
        </w:rPr>
        <w:lastRenderedPageBreak/>
        <w:t>do not wish to exercise them through their operators). Shareholders wishing to exercise their rights through their operators will request the exercise of their rights by their operator.</w:t>
      </w:r>
    </w:p>
    <w:p w:rsidR="009805D0" w:rsidRPr="006C1EF6" w:rsidRDefault="009805D0" w:rsidP="00A34303">
      <w:pPr>
        <w:spacing w:after="120"/>
        <w:jc w:val="both"/>
        <w:rPr>
          <w:rFonts w:ascii="Calibri" w:hAnsi="Calibri" w:cs="Calibri"/>
          <w:lang w:val="en-US" w:eastAsia="el-GR"/>
        </w:rPr>
      </w:pPr>
      <w:r w:rsidRPr="006C1EF6">
        <w:rPr>
          <w:rStyle w:val="tlid-translationtranslation"/>
          <w:rFonts w:ascii="Calibri" w:hAnsi="Calibri"/>
        </w:rPr>
        <w:t>For the exercise of rights through Alpha Bank, investors must produce the relevant Certificate of Rights Impounding issued by the Hellenic Central Securities Depository (ELKAT) and the simultaneous payment the value of the New Shares corresponding to the exercised rights.</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In particular, in order to exercise their rights in Alpha Bank branches, investors should follow the following procedure:</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a) provide their police ID, tax identification number, printing of SAT information, as well as the relevant Certificate of Rights Impounding that should be sought by their account operator</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b) declare the SAT investor share number, the SAT securities account number and the authorized holder of their securities account in which they wish to register the New Shares corresponding to the exercised rights.</w:t>
      </w:r>
    </w:p>
    <w:p w:rsidR="009805D0" w:rsidRPr="006C1EF6" w:rsidRDefault="009805D0" w:rsidP="00A34303">
      <w:pPr>
        <w:spacing w:after="120"/>
        <w:jc w:val="both"/>
        <w:rPr>
          <w:rFonts w:ascii="Calibri" w:hAnsi="Calibri" w:cs="Calibri"/>
          <w:lang w:val="en-US" w:eastAsia="el-GR"/>
        </w:rPr>
      </w:pPr>
      <w:r w:rsidRPr="006C1EF6">
        <w:rPr>
          <w:rStyle w:val="tlid-translationtranslation"/>
          <w:rFonts w:ascii="Calibri" w:hAnsi="Calibri"/>
        </w:rPr>
        <w:t>c) Pay into a special bank account opened for the Capital Increase, the total price of the New Shares corresponding to their exercised rights.</w:t>
      </w:r>
    </w:p>
    <w:p w:rsidR="009805D0" w:rsidRDefault="009805D0" w:rsidP="00A34303">
      <w:pPr>
        <w:spacing w:after="120"/>
        <w:jc w:val="both"/>
        <w:rPr>
          <w:rStyle w:val="tlid-translationtranslation"/>
          <w:rFonts w:ascii="Calibri" w:hAnsi="Calibri"/>
        </w:rPr>
      </w:pPr>
      <w:r w:rsidRPr="006C1EF6">
        <w:rPr>
          <w:rStyle w:val="tlid-translationtranslation"/>
          <w:rFonts w:ascii="Calibri" w:hAnsi="Calibri"/>
        </w:rPr>
        <w:t>The above amount will be paid, either by depositing cash in the special bank account specifically opened for this Capital Increase or by debiting a deposit account held by the Alpha Bank shareholder in an amount equal to the total value of the new Shares that correspond to the exercised rights, and thereafter equal credit of the above Special Account of Capital Increase.</w:t>
      </w:r>
    </w:p>
    <w:p w:rsidR="009805D0" w:rsidRPr="006C1EF6" w:rsidRDefault="009805D0" w:rsidP="00A34303">
      <w:pPr>
        <w:spacing w:after="120"/>
        <w:jc w:val="both"/>
        <w:rPr>
          <w:rFonts w:ascii="Calibri" w:hAnsi="Calibri" w:cs="Calibri"/>
          <w:lang w:val="en-US" w:eastAsia="el-GR"/>
        </w:rPr>
      </w:pPr>
      <w:r w:rsidRPr="006C1EF6">
        <w:rPr>
          <w:rStyle w:val="tlid-translationtranslation"/>
          <w:rFonts w:ascii="Calibri" w:hAnsi="Calibri"/>
        </w:rPr>
        <w:t>According to the decision of the Extraordinary General Meeting of the shareholders of 26.09.2019, fractional shares will not be issued. For this reason, it is recommended to shareholders that they collect through the Athens Bourse an appropriate number of shares or rights which will produce an integer number of New Shares when exercised.</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After exercising their rights, subscribers will receive a relevant certificate which does not constitute a temporary title and is not tradeable. Rights that will not be exercised until the end of the exercise period will be erased and invalidated.</w:t>
      </w:r>
    </w:p>
    <w:p w:rsidR="009805D0" w:rsidRPr="006C1EF6" w:rsidRDefault="009805D0" w:rsidP="00A34303">
      <w:pPr>
        <w:spacing w:after="120"/>
        <w:jc w:val="both"/>
        <w:rPr>
          <w:rStyle w:val="tlid-translationtranslation"/>
          <w:rFonts w:ascii="Calibri" w:hAnsi="Calibri"/>
        </w:rPr>
      </w:pPr>
      <w:r w:rsidRPr="006C1EF6">
        <w:rPr>
          <w:rStyle w:val="tlid-translationtranslation"/>
          <w:rFonts w:ascii="Calibri" w:hAnsi="Calibri"/>
        </w:rPr>
        <w:t>Investors who exercise their rights are not charged with costs for clearing and crediting the New Shares or any other cost. For the purchase of rights, buyers shall bear the standard expenses agreed with the brokerage firm or the bank carrying out this transaction, as well as the transfer fees applicable by ELKAT.</w:t>
      </w:r>
    </w:p>
    <w:p w:rsidR="009805D0" w:rsidRPr="006C1EF6" w:rsidRDefault="009805D0" w:rsidP="00A34303">
      <w:pPr>
        <w:spacing w:after="120"/>
        <w:jc w:val="both"/>
        <w:rPr>
          <w:rFonts w:ascii="Calibri" w:hAnsi="Calibri" w:cs="Calibri"/>
          <w:lang w:val="en-US" w:eastAsia="el-GR"/>
        </w:rPr>
      </w:pPr>
      <w:r w:rsidRPr="006C1EF6">
        <w:rPr>
          <w:rStyle w:val="tlid-translationtranslation"/>
          <w:rFonts w:ascii="Calibri" w:hAnsi="Calibri"/>
        </w:rPr>
        <w:t>The New Shares will be given to the beneficiaries in an intangible form by credit to the SAT investment accounts declared by the beneficiaries.</w:t>
      </w:r>
    </w:p>
    <w:p w:rsidR="009805D0" w:rsidRPr="006C1EF6" w:rsidRDefault="009805D0" w:rsidP="00A34303">
      <w:pPr>
        <w:spacing w:after="120"/>
        <w:jc w:val="both"/>
        <w:rPr>
          <w:rFonts w:ascii="Calibri" w:hAnsi="Calibri" w:cs="Calibri"/>
          <w:b/>
        </w:rPr>
      </w:pPr>
      <w:r w:rsidRPr="006C1EF6">
        <w:rPr>
          <w:rFonts w:ascii="Calibri" w:hAnsi="Calibri" w:cs="Calibri"/>
          <w:b/>
          <w:lang w:val="en-US"/>
        </w:rPr>
        <w:t>Information Memorandum</w:t>
      </w: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t>The Information Memorandum, as approved by the Board of Directors of Greece’s Capital Market Commission on 20.01.2020, will be available from 21.01.2020 in electronic form:</w:t>
      </w: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br/>
        <w:t>• on the Athens Stock Exchange website (</w:t>
      </w:r>
      <w:hyperlink r:id="rId11" w:history="1">
        <w:r w:rsidRPr="006C1EF6">
          <w:rPr>
            <w:rStyle w:val="Hyperlink"/>
            <w:rFonts w:ascii="Calibri" w:hAnsi="Calibri"/>
          </w:rPr>
          <w:t>https://www.athexgroup.gr/en/web/guest/company-prospectus/-/select-company/142</w:t>
        </w:r>
      </w:hyperlink>
      <w:r w:rsidRPr="006C1EF6">
        <w:rPr>
          <w:rStyle w:val="tlid-translationtranslation"/>
          <w:rFonts w:ascii="Calibri" w:hAnsi="Calibri"/>
        </w:rPr>
        <w:t>)</w:t>
      </w: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t>• the Securities and Exchange Commission (</w:t>
      </w:r>
      <w:hyperlink r:id="rId12" w:history="1">
        <w:r w:rsidRPr="006C1EF6">
          <w:rPr>
            <w:rStyle w:val="Hyperlink"/>
            <w:rFonts w:ascii="Calibri" w:hAnsi="Calibri"/>
          </w:rPr>
          <w:t>www.hcmc.gr/en_EN/web/portal/elib/deltia</w:t>
        </w:r>
      </w:hyperlink>
      <w:r w:rsidRPr="006C1EF6">
        <w:rPr>
          <w:rStyle w:val="tlid-translationtranslation"/>
          <w:rFonts w:ascii="Calibri" w:hAnsi="Calibri"/>
        </w:rPr>
        <w:t>),</w:t>
      </w: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t xml:space="preserve">• the Company </w:t>
      </w:r>
      <w:hyperlink r:id="rId13" w:history="1">
        <w:r w:rsidRPr="006C1EF6">
          <w:rPr>
            <w:rStyle w:val="Hyperlink"/>
            <w:rFonts w:ascii="Calibri" w:hAnsi="Calibri"/>
          </w:rPr>
          <w:t>http://www.jp-avax.gr/default.aspx?pid=335&amp;CTID=203</w:t>
        </w:r>
      </w:hyperlink>
      <w:r w:rsidRPr="006C1EF6">
        <w:rPr>
          <w:rStyle w:val="tlid-translationtranslation"/>
          <w:rFonts w:ascii="Calibri" w:hAnsi="Calibri"/>
        </w:rPr>
        <w:t>,</w:t>
      </w: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br/>
        <w:t>In addition, the Information Memorandum, may be issued free of charge upon request, during the period of rights exercise, in hard copy by the Company's offices (</w:t>
      </w:r>
      <w:smartTag w:uri="urn:schemas-microsoft-com:office:smarttags" w:element="address">
        <w:smartTag w:uri="urn:schemas-microsoft-com:office:smarttags" w:element="Street">
          <w:r w:rsidRPr="006C1EF6">
            <w:rPr>
              <w:rStyle w:val="tlid-translationtranslation"/>
              <w:rFonts w:ascii="Calibri" w:hAnsi="Calibri"/>
            </w:rPr>
            <w:t>16 Amarousiou-</w:t>
          </w:r>
          <w:r>
            <w:rPr>
              <w:rStyle w:val="tlid-translationtranslation"/>
              <w:rFonts w:ascii="Calibri" w:hAnsi="Calibri"/>
            </w:rPr>
            <w:t>H</w:t>
          </w:r>
          <w:r w:rsidRPr="006C1EF6">
            <w:rPr>
              <w:rStyle w:val="tlid-translationtranslation"/>
              <w:rFonts w:ascii="Calibri" w:hAnsi="Calibri"/>
            </w:rPr>
            <w:t>alandri</w:t>
          </w:r>
          <w:r>
            <w:rPr>
              <w:rStyle w:val="tlid-translationtranslation"/>
              <w:rFonts w:ascii="Calibri" w:hAnsi="Calibri"/>
            </w:rPr>
            <w:t>ou Street</w:t>
          </w:r>
        </w:smartTag>
      </w:smartTag>
      <w:r w:rsidRPr="006C1EF6">
        <w:rPr>
          <w:rStyle w:val="tlid-translationtranslation"/>
          <w:rFonts w:ascii="Calibri" w:hAnsi="Calibri"/>
        </w:rPr>
        <w:t>, 151 25, Marousi).</w:t>
      </w:r>
    </w:p>
    <w:p w:rsidR="009805D0" w:rsidRPr="006C1EF6" w:rsidRDefault="009805D0" w:rsidP="006C1EF6">
      <w:pPr>
        <w:spacing w:after="120"/>
        <w:jc w:val="both"/>
        <w:rPr>
          <w:rStyle w:val="tlid-translationtranslation"/>
          <w:rFonts w:ascii="Calibri" w:hAnsi="Calibri"/>
        </w:rPr>
      </w:pP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t>The date of commencement of trading of the New Shares in the Athens Bourse, after the completion of the share capital increase, will be decided by the Company and will be announced in a new announcement, in accordance with current legislation. The listing of the New Shares requires prior approval of the Athens Bourse.</w:t>
      </w:r>
    </w:p>
    <w:p w:rsidR="009805D0" w:rsidRPr="006C1EF6" w:rsidRDefault="009805D0" w:rsidP="006C1EF6">
      <w:pPr>
        <w:spacing w:after="120"/>
        <w:jc w:val="both"/>
        <w:rPr>
          <w:rStyle w:val="tlid-translationtranslation"/>
          <w:rFonts w:ascii="Calibri" w:hAnsi="Calibri"/>
        </w:rPr>
      </w:pPr>
      <w:r w:rsidRPr="006C1EF6">
        <w:rPr>
          <w:rStyle w:val="tlid-translationtranslation"/>
          <w:rFonts w:ascii="Calibri" w:hAnsi="Calibri"/>
        </w:rPr>
        <w:lastRenderedPageBreak/>
        <w:br/>
        <w:t xml:space="preserve">For more information, shareholders may contact the Company's offices at </w:t>
      </w:r>
      <w:smartTag w:uri="urn:schemas-microsoft-com:office:smarttags" w:element="Street">
        <w:r w:rsidRPr="006C1EF6">
          <w:rPr>
            <w:rStyle w:val="tlid-translationtranslation"/>
            <w:rFonts w:ascii="Calibri" w:hAnsi="Calibri"/>
          </w:rPr>
          <w:t>16 Amarousiou-Halandriou Street</w:t>
        </w:r>
      </w:smartTag>
      <w:r w:rsidRPr="006C1EF6">
        <w:rPr>
          <w:rStyle w:val="tlid-translationtranslation"/>
          <w:rFonts w:ascii="Calibri" w:hAnsi="Calibri"/>
        </w:rPr>
        <w:t>, 151 25, Marousi (Shareholder Service, Mr. A. Kiosklis and Mrs. E. Michailari, tel. 2106375000)</w:t>
      </w:r>
    </w:p>
    <w:p w:rsidR="009805D0" w:rsidRPr="006C1EF6" w:rsidRDefault="009805D0" w:rsidP="000E0A29">
      <w:pPr>
        <w:rPr>
          <w:rFonts w:ascii="Calibri" w:hAnsi="Calibri" w:cs="Calibri"/>
          <w:color w:val="000000"/>
          <w:lang w:val="el-GR" w:eastAsia="el-GR"/>
        </w:rPr>
      </w:pPr>
    </w:p>
    <w:p w:rsidR="009805D0" w:rsidRPr="006C1EF6" w:rsidRDefault="009805D0" w:rsidP="00771DCA">
      <w:pPr>
        <w:jc w:val="center"/>
        <w:rPr>
          <w:rFonts w:ascii="Calibri" w:hAnsi="Calibri"/>
          <w:b/>
          <w:lang w:val="el-GR"/>
        </w:rPr>
      </w:pPr>
      <w:r w:rsidRPr="006C1EF6">
        <w:rPr>
          <w:rFonts w:ascii="Calibri" w:hAnsi="Calibri" w:cs="Calibri"/>
          <w:b/>
          <w:color w:val="000000"/>
          <w:lang w:val="en-US" w:eastAsia="el-GR"/>
        </w:rPr>
        <w:t>Marousi</w:t>
      </w:r>
      <w:r w:rsidRPr="006C1EF6">
        <w:rPr>
          <w:rFonts w:ascii="Calibri" w:hAnsi="Calibri" w:cs="Calibri"/>
          <w:b/>
          <w:color w:val="000000"/>
          <w:lang w:val="el-GR" w:eastAsia="el-GR"/>
        </w:rPr>
        <w:t xml:space="preserve">, </w:t>
      </w:r>
      <w:r w:rsidRPr="006C1EF6">
        <w:rPr>
          <w:rFonts w:ascii="Calibri" w:hAnsi="Calibri" w:cs="Calibri"/>
          <w:b/>
          <w:color w:val="000000"/>
          <w:lang w:val="en-US" w:eastAsia="el-GR"/>
        </w:rPr>
        <w:t xml:space="preserve">January </w:t>
      </w:r>
      <w:r w:rsidRPr="006C1EF6">
        <w:rPr>
          <w:rFonts w:ascii="Calibri" w:hAnsi="Calibri" w:cs="Calibri"/>
          <w:b/>
          <w:color w:val="000000"/>
          <w:lang w:val="el-GR" w:eastAsia="el-GR"/>
        </w:rPr>
        <w:t>20</w:t>
      </w:r>
      <w:r w:rsidRPr="006C1EF6">
        <w:rPr>
          <w:rFonts w:ascii="Calibri" w:hAnsi="Calibri" w:cs="Calibri"/>
          <w:b/>
          <w:color w:val="000000"/>
          <w:lang w:val="en-US" w:eastAsia="el-GR"/>
        </w:rPr>
        <w:t>,</w:t>
      </w:r>
      <w:r w:rsidRPr="006C1EF6">
        <w:rPr>
          <w:rFonts w:ascii="Calibri" w:hAnsi="Calibri" w:cs="Calibri"/>
          <w:b/>
          <w:color w:val="000000"/>
          <w:lang w:val="el-GR" w:eastAsia="el-GR"/>
        </w:rPr>
        <w:t xml:space="preserve"> 2020</w:t>
      </w:r>
    </w:p>
    <w:sectPr w:rsidR="009805D0" w:rsidRPr="006C1EF6" w:rsidSect="005E0F42">
      <w:type w:val="continuous"/>
      <w:pgSz w:w="11906" w:h="16838" w:code="9"/>
      <w:pgMar w:top="1440" w:right="1077" w:bottom="851" w:left="1134" w:header="709" w:footer="28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6F" w:rsidRDefault="002B236F">
      <w:r>
        <w:separator/>
      </w:r>
    </w:p>
  </w:endnote>
  <w:endnote w:type="continuationSeparator" w:id="0">
    <w:p w:rsidR="002B236F" w:rsidRDefault="002B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A0002AEF" w:usb1="4000207B" w:usb2="00000000" w:usb3="00000000" w:csb0="000001F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D0" w:rsidRPr="00BA3EEE" w:rsidRDefault="009805D0" w:rsidP="009F7D5B">
    <w:pPr>
      <w:pStyle w:val="Footer"/>
      <w:jc w:val="center"/>
      <w:rPr>
        <w:rStyle w:val="PageNumber"/>
        <w:rFonts w:cs="Tahoma"/>
        <w:sz w:val="40"/>
        <w:szCs w:val="40"/>
      </w:rPr>
    </w:pPr>
  </w:p>
  <w:p w:rsidR="009805D0" w:rsidRDefault="009805D0" w:rsidP="009F7D5B">
    <w:pPr>
      <w:pStyle w:val="Footer"/>
      <w:jc w:val="center"/>
      <w:rPr>
        <w:rStyle w:val="PageNumber"/>
        <w:rFonts w:cs="Tahoma"/>
        <w:sz w:val="8"/>
        <w:szCs w:val="8"/>
      </w:rPr>
    </w:pPr>
  </w:p>
  <w:p w:rsidR="009805D0" w:rsidRDefault="009805D0" w:rsidP="009F7D5B">
    <w:pPr>
      <w:pStyle w:val="Footer"/>
      <w:jc w:val="center"/>
      <w:rPr>
        <w:rStyle w:val="PageNumber"/>
        <w:rFonts w:cs="Tahoma"/>
        <w:szCs w:val="22"/>
      </w:rPr>
    </w:pPr>
    <w:r>
      <w:rPr>
        <w:rStyle w:val="PageNumber"/>
        <w:rFonts w:cs="Tahoma"/>
        <w:szCs w:val="22"/>
      </w:rPr>
      <w:fldChar w:fldCharType="begin"/>
    </w:r>
    <w:r>
      <w:rPr>
        <w:rStyle w:val="PageNumber"/>
        <w:rFonts w:cs="Tahoma"/>
        <w:szCs w:val="22"/>
      </w:rPr>
      <w:instrText xml:space="preserve"> PAGE </w:instrText>
    </w:r>
    <w:r>
      <w:rPr>
        <w:rStyle w:val="PageNumber"/>
        <w:rFonts w:cs="Tahoma"/>
        <w:szCs w:val="22"/>
      </w:rPr>
      <w:fldChar w:fldCharType="separate"/>
    </w:r>
    <w:r w:rsidR="00F9463C">
      <w:rPr>
        <w:rStyle w:val="PageNumber"/>
        <w:rFonts w:cs="Tahoma"/>
        <w:noProof/>
        <w:szCs w:val="22"/>
      </w:rPr>
      <w:t>2</w:t>
    </w:r>
    <w:r>
      <w:rPr>
        <w:rStyle w:val="PageNumber"/>
        <w:rFonts w:cs="Tahoma"/>
        <w:szCs w:val="22"/>
      </w:rPr>
      <w:fldChar w:fldCharType="end"/>
    </w:r>
  </w:p>
  <w:p w:rsidR="009805D0" w:rsidRDefault="009805D0" w:rsidP="009F7D5B">
    <w:pPr>
      <w:pStyle w:val="Footer"/>
      <w:jc w:val="center"/>
      <w:rPr>
        <w:sz w:val="22"/>
        <w:szCs w:val="22"/>
        <w:lang w:val="en-US"/>
      </w:rPr>
    </w:pPr>
  </w:p>
  <w:p w:rsidR="009805D0" w:rsidRDefault="00F9463C" w:rsidP="009F7D5B">
    <w:pPr>
      <w:pStyle w:val="Footer"/>
      <w:jc w:val="center"/>
      <w:rPr>
        <w:sz w:val="22"/>
        <w:szCs w:val="22"/>
        <w:lang w:val="en-US"/>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-800100</wp:posOffset>
              </wp:positionH>
              <wp:positionV relativeFrom="paragraph">
                <wp:posOffset>100965</wp:posOffset>
              </wp:positionV>
              <wp:extent cx="7657465" cy="2563495"/>
              <wp:effectExtent l="19050" t="15240" r="19685" b="2159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7465" cy="2563495"/>
                      </a:xfrm>
                      <a:prstGeom prst="rect">
                        <a:avLst/>
                      </a:prstGeom>
                      <a:solidFill>
                        <a:srgbClr val="C0C0C0"/>
                      </a:solidFill>
                      <a:ln w="28575">
                        <a:solidFill>
                          <a:srgbClr val="C0C0C0"/>
                        </a:solidFill>
                        <a:miter lim="800000"/>
                        <a:headEnd/>
                        <a:tailEnd/>
                      </a:ln>
                    </wps:spPr>
                    <wps:txbx>
                      <w:txbxContent>
                        <w:p w:rsidR="009805D0" w:rsidRPr="00A6329D" w:rsidRDefault="009805D0" w:rsidP="00122D8B"/>
                      </w:txbxContent>
                    </wps:txbx>
                    <wps:bodyPr rot="0" vert="horz" wrap="square" lIns="91440" tIns="2340000" rIns="91440" bIns="26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pt;margin-top:7.95pt;width:602.95pt;height:20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" fillcolor="silver" strokecolor="silver" strokeweight="2.25pt">
              <v:textbox inset=",65mm,,7.3mm">
                <w:txbxContent>
                  <w:p w:rsidR="009805D0" w:rsidRPr="00A6329D" w:rsidRDefault="009805D0" w:rsidP="00122D8B"/>
                </w:txbxContent>
              </v:textbox>
            </v:shape>
          </w:pict>
        </mc:Fallback>
      </mc:AlternateContent>
    </w:r>
  </w:p>
  <w:p w:rsidR="009805D0" w:rsidRDefault="00F9463C" w:rsidP="00122D8B">
    <w:pPr>
      <w:pStyle w:val="Footer"/>
      <w:tabs>
        <w:tab w:val="left" w:pos="720"/>
      </w:tabs>
      <w:spacing w:after="120"/>
      <w:ind w:left="-720" w:right="-873"/>
      <w:jc w:val="center"/>
      <w:rPr>
        <w:sz w:val="2"/>
        <w:szCs w:val="2"/>
        <w:lang w:val="el-GR"/>
      </w:rPr>
    </w:pPr>
    <w:r>
      <w:rPr>
        <w:noProof/>
        <w:lang w:val="en-US"/>
      </w:rPr>
      <mc:AlternateContent>
        <mc:Choice Requires="wps">
          <w:drawing>
            <wp:anchor distT="0" distB="0" distL="114300" distR="114300" simplePos="0" relativeHeight="251654656" behindDoc="0" locked="0" layoutInCell="1" allowOverlap="1">
              <wp:simplePos x="0" y="0"/>
              <wp:positionH relativeFrom="column">
                <wp:posOffset>-797560</wp:posOffset>
              </wp:positionH>
              <wp:positionV relativeFrom="paragraph">
                <wp:posOffset>633095</wp:posOffset>
              </wp:positionV>
              <wp:extent cx="7658100" cy="266065"/>
              <wp:effectExtent l="2540" t="4445"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2.8pt;margin-top:49.85pt;width:603pt;height:2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785495</wp:posOffset>
              </wp:positionV>
              <wp:extent cx="7658100" cy="266065"/>
              <wp:effectExtent l="2540" t="4445"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0.8pt;margin-top:61.85pt;width:603pt;height:2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7Y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-492760</wp:posOffset>
              </wp:positionH>
              <wp:positionV relativeFrom="paragraph">
                <wp:posOffset>937895</wp:posOffset>
              </wp:positionV>
              <wp:extent cx="7658100" cy="266065"/>
              <wp:effectExtent l="2540"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8.8pt;margin-top:73.85pt;width:603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Uh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-340360</wp:posOffset>
              </wp:positionH>
              <wp:positionV relativeFrom="paragraph">
                <wp:posOffset>1090295</wp:posOffset>
              </wp:positionV>
              <wp:extent cx="7658100" cy="266065"/>
              <wp:effectExtent l="2540" t="4445"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6.8pt;margin-top:85.85pt;width:603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c1ugIAAMA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simplePos x="0" y="0"/>
              <wp:positionH relativeFrom="column">
                <wp:posOffset>-187960</wp:posOffset>
              </wp:positionH>
              <wp:positionV relativeFrom="paragraph">
                <wp:posOffset>1242695</wp:posOffset>
              </wp:positionV>
              <wp:extent cx="7658100" cy="266065"/>
              <wp:effectExtent l="2540" t="444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4.8pt;margin-top:97.85pt;width:603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DK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-35560</wp:posOffset>
              </wp:positionH>
              <wp:positionV relativeFrom="paragraph">
                <wp:posOffset>1395095</wp:posOffset>
              </wp:positionV>
              <wp:extent cx="7658100" cy="266065"/>
              <wp:effectExtent l="2540" t="444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8pt;margin-top:109.85pt;width:603pt;height:2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UW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60800" behindDoc="0" locked="0" layoutInCell="1" allowOverlap="1">
              <wp:simplePos x="0" y="0"/>
              <wp:positionH relativeFrom="column">
                <wp:posOffset>116840</wp:posOffset>
              </wp:positionH>
              <wp:positionV relativeFrom="paragraph">
                <wp:posOffset>1547495</wp:posOffset>
              </wp:positionV>
              <wp:extent cx="7658100" cy="266065"/>
              <wp:effectExtent l="2540" t="4445"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9.2pt;margin-top:121.85pt;width:603pt;height: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fiuA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" filled="f" stroked="f">
              <v:textbox>
                <w:txbxContent>
                  <w:p w:rsidR="009805D0" w:rsidRDefault="009805D0"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D0" w:rsidRPr="00DA56C2" w:rsidRDefault="009805D0" w:rsidP="00E00D26">
    <w:pPr>
      <w:pStyle w:val="Footer"/>
      <w:tabs>
        <w:tab w:val="left" w:pos="720"/>
      </w:tabs>
      <w:spacing w:after="120"/>
      <w:ind w:left="-720" w:right="-873"/>
      <w:jc w:val="center"/>
      <w:rPr>
        <w:rFonts w:ascii="Tahoma" w:hAnsi="Tahoma" w:cs="Tahoma"/>
        <w:b/>
        <w:bCs/>
        <w:spacing w:val="20"/>
        <w:sz w:val="22"/>
        <w:szCs w:val="22"/>
      </w:rPr>
    </w:pPr>
  </w:p>
  <w:p w:rsidR="009805D0" w:rsidRPr="00EE44D9" w:rsidRDefault="009805D0" w:rsidP="00471EA2">
    <w:pPr>
      <w:pStyle w:val="Footer"/>
      <w:tabs>
        <w:tab w:val="left" w:pos="720"/>
      </w:tabs>
      <w:spacing w:after="80"/>
      <w:ind w:left="-720" w:right="-873"/>
      <w:jc w:val="center"/>
      <w:rPr>
        <w:rFonts w:ascii="Tahoma" w:hAnsi="Tahoma" w:cs="Tahoma"/>
        <w:color w:val="000099"/>
        <w:spacing w:val="14"/>
        <w:sz w:val="18"/>
        <w:szCs w:val="18"/>
        <w:lang w:val="el-GR"/>
      </w:rPr>
    </w:pPr>
    <w:r w:rsidRPr="00EE44D9">
      <w:rPr>
        <w:rFonts w:ascii="Tahoma" w:hAnsi="Tahoma" w:cs="Tahoma"/>
        <w:b/>
        <w:bCs/>
        <w:color w:val="000099"/>
        <w:spacing w:val="14"/>
        <w:sz w:val="18"/>
        <w:szCs w:val="18"/>
        <w:lang w:val="el-GR"/>
      </w:rPr>
      <w:t xml:space="preserve">ΑΒΑΞ Α.Ε. </w:t>
    </w:r>
    <w:r w:rsidRPr="00EE44D9">
      <w:rPr>
        <w:rFonts w:ascii="Tahoma" w:hAnsi="Tahoma" w:cs="Tahoma"/>
        <w:bCs/>
        <w:color w:val="000099"/>
        <w:spacing w:val="14"/>
        <w:sz w:val="18"/>
        <w:szCs w:val="18"/>
        <w:lang w:val="el-GR"/>
      </w:rPr>
      <w:t>Αμαρουσίου</w:t>
    </w:r>
    <w:r w:rsidRPr="00EE44D9">
      <w:rPr>
        <w:rFonts w:ascii="Tahoma" w:hAnsi="Tahoma" w:cs="Tahoma"/>
        <w:color w:val="000099"/>
        <w:spacing w:val="14"/>
        <w:sz w:val="18"/>
        <w:szCs w:val="18"/>
        <w:lang w:val="el-GR"/>
      </w:rPr>
      <w:t xml:space="preserve"> - Χαλανδρίου 16, 151 25 Μαρούσι, Αθήνα, Τηλ.: 210 6375000, </w:t>
    </w:r>
    <w:r w:rsidRPr="00EE44D9">
      <w:rPr>
        <w:rFonts w:ascii="Tahoma" w:hAnsi="Tahoma" w:cs="Tahoma"/>
        <w:color w:val="000099"/>
        <w:spacing w:val="14"/>
        <w:sz w:val="18"/>
        <w:szCs w:val="18"/>
      </w:rPr>
      <w:t>Fax</w:t>
    </w:r>
    <w:r w:rsidRPr="00EE44D9">
      <w:rPr>
        <w:rFonts w:ascii="Tahoma" w:hAnsi="Tahoma" w:cs="Tahoma"/>
        <w:color w:val="000099"/>
        <w:spacing w:val="14"/>
        <w:sz w:val="18"/>
        <w:szCs w:val="18"/>
        <w:lang w:val="el-GR"/>
      </w:rPr>
      <w:t>: 210 6104380,</w:t>
    </w:r>
  </w:p>
  <w:p w:rsidR="009805D0" w:rsidRPr="00EE44D9" w:rsidRDefault="009805D0" w:rsidP="00471EA2">
    <w:pPr>
      <w:pStyle w:val="Footer"/>
      <w:tabs>
        <w:tab w:val="left" w:pos="720"/>
      </w:tabs>
      <w:spacing w:after="80"/>
      <w:ind w:left="-720" w:right="-873"/>
      <w:jc w:val="center"/>
      <w:rPr>
        <w:color w:val="000099"/>
        <w:sz w:val="17"/>
        <w:szCs w:val="17"/>
        <w:lang w:val="el-GR"/>
      </w:rPr>
    </w:pPr>
    <w:r w:rsidRPr="00EE44D9">
      <w:rPr>
        <w:rFonts w:ascii="Tahoma" w:hAnsi="Tahoma" w:cs="Tahoma"/>
        <w:color w:val="000099"/>
        <w:sz w:val="17"/>
        <w:szCs w:val="17"/>
        <w:lang w:val="el-GR"/>
      </w:rPr>
      <w:t xml:space="preserve">Αρ. Γ.Ε.ΜΗ.  913601000  ΥΠ. ΟΙΚΟΝΟΜΙΑΣ &amp; ΑΝΑΠΤΥΞΗΣ  </w:t>
    </w:r>
    <w:r w:rsidRPr="00EE44D9">
      <w:rPr>
        <w:rFonts w:ascii="Tahoma" w:hAnsi="Tahoma" w:cs="Tahoma"/>
        <w:color w:val="000099"/>
        <w:spacing w:val="20"/>
        <w:sz w:val="17"/>
        <w:szCs w:val="17"/>
        <w:lang w:val="el-GR"/>
      </w:rPr>
      <w:t>ΑΦΜ: 094183623,</w:t>
    </w:r>
    <w:r w:rsidRPr="00EE44D9">
      <w:rPr>
        <w:rFonts w:ascii="Tahoma" w:hAnsi="Tahoma" w:cs="Tahoma"/>
        <w:color w:val="000099"/>
        <w:sz w:val="17"/>
        <w:szCs w:val="17"/>
        <w:lang w:val="el-GR"/>
      </w:rPr>
      <w:t xml:space="preserve">  ΔΟΥ ΦΑΕ ΑΘΗΝΩΝ</w:t>
    </w:r>
  </w:p>
  <w:p w:rsidR="009805D0" w:rsidRPr="00CB66E4" w:rsidRDefault="009805D0" w:rsidP="00471EA2">
    <w:pPr>
      <w:pStyle w:val="Footer"/>
      <w:tabs>
        <w:tab w:val="left" w:pos="720"/>
      </w:tabs>
      <w:spacing w:after="80"/>
      <w:ind w:left="-720" w:right="-878"/>
      <w:jc w:val="right"/>
      <w:rPr>
        <w:rFonts w:ascii="Arial" w:hAnsi="Arial" w:cs="Arial"/>
        <w:b/>
        <w:bCs/>
        <w:spacing w:val="12"/>
        <w:position w:val="-2"/>
        <w:sz w:val="8"/>
        <w:szCs w:val="8"/>
        <w:lang w:val="el-GR"/>
      </w:rPr>
    </w:pPr>
  </w:p>
  <w:p w:rsidR="009805D0" w:rsidRPr="00E00D26" w:rsidRDefault="00F9463C" w:rsidP="00471EA2">
    <w:pPr>
      <w:pStyle w:val="Footer"/>
      <w:tabs>
        <w:tab w:val="left" w:pos="720"/>
      </w:tabs>
      <w:spacing w:after="80"/>
      <w:ind w:left="-720" w:right="-878"/>
      <w:jc w:val="right"/>
      <w:rPr>
        <w:rFonts w:ascii="Arial" w:hAnsi="Arial" w:cs="Arial"/>
        <w:b/>
        <w:bCs/>
        <w:spacing w:val="12"/>
        <w:position w:val="-2"/>
        <w:sz w:val="16"/>
        <w:szCs w:val="16"/>
        <w:lang w:val="el-GR"/>
      </w:rPr>
    </w:pPr>
    <w:r>
      <w:rPr>
        <w:noProof/>
        <w:lang w:val="en-US"/>
      </w:rPr>
      <mc:AlternateContent>
        <mc:Choice Requires="wps">
          <w:drawing>
            <wp:anchor distT="0" distB="0" distL="114300" distR="114300" simplePos="0" relativeHeight="251653632" behindDoc="0" locked="0" layoutInCell="1" allowOverlap="1">
              <wp:simplePos x="0" y="0"/>
              <wp:positionH relativeFrom="column">
                <wp:posOffset>-1141095</wp:posOffset>
              </wp:positionH>
              <wp:positionV relativeFrom="paragraph">
                <wp:posOffset>77470</wp:posOffset>
              </wp:positionV>
              <wp:extent cx="7658100" cy="2586990"/>
              <wp:effectExtent l="11430" t="10795" r="7620" b="1206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586990"/>
                      </a:xfrm>
                      <a:prstGeom prst="rect">
                        <a:avLst/>
                      </a:prstGeom>
                      <a:solidFill>
                        <a:srgbClr val="C0C0C0"/>
                      </a:solidFill>
                      <a:ln w="9525">
                        <a:solidFill>
                          <a:srgbClr val="C0C0C0"/>
                        </a:solidFill>
                        <a:miter lim="800000"/>
                        <a:headEnd/>
                        <a:tailEnd/>
                      </a:ln>
                    </wps:spPr>
                    <wps:txbx>
                      <w:txbxContent>
                        <w:p w:rsidR="009805D0" w:rsidRPr="00A6329D" w:rsidRDefault="009805D0" w:rsidP="00E00D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left:0;text-align:left;margin-left:-89.85pt;margin-top:6.1pt;width:603pt;height:20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" fillcolor="silver" strokecolor="silver">
              <v:textbox>
                <w:txbxContent>
                  <w:p w:rsidR="009805D0" w:rsidRPr="00A6329D" w:rsidRDefault="009805D0" w:rsidP="00E00D26"/>
                </w:txbxContent>
              </v:textbox>
            </v:shape>
          </w:pict>
        </mc:Fallback>
      </mc:AlternateContent>
    </w:r>
  </w:p>
  <w:p w:rsidR="009805D0" w:rsidRPr="003E06BE" w:rsidRDefault="009805D0" w:rsidP="00471EA2">
    <w:pPr>
      <w:pStyle w:val="Footer"/>
      <w:tabs>
        <w:tab w:val="left" w:pos="720"/>
      </w:tabs>
      <w:spacing w:after="80"/>
      <w:ind w:left="-720" w:right="-873"/>
      <w:jc w:val="center"/>
      <w:rPr>
        <w:rFonts w:ascii="Tahoma" w:hAnsi="Tahoma" w:cs="Tahoma"/>
        <w:b/>
        <w:bCs/>
        <w:sz w:val="4"/>
        <w:szCs w:val="4"/>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6F" w:rsidRDefault="002B236F">
      <w:r>
        <w:separator/>
      </w:r>
    </w:p>
  </w:footnote>
  <w:footnote w:type="continuationSeparator" w:id="0">
    <w:p w:rsidR="002B236F" w:rsidRDefault="002B23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D0" w:rsidRPr="00146CD5" w:rsidRDefault="009805D0">
    <w:pPr>
      <w:pStyle w:val="Header"/>
      <w:rPr>
        <w:rFonts w:ascii="Tahoma" w:hAnsi="Tahoma" w:cs="Tahoma"/>
        <w:sz w:val="22"/>
        <w:szCs w:val="22"/>
      </w:rPr>
    </w:pPr>
  </w:p>
  <w:p w:rsidR="009805D0" w:rsidRDefault="00F9463C" w:rsidP="00D61585">
    <w:pPr>
      <w:pStyle w:val="Header"/>
      <w:jc w:val="center"/>
      <w:rPr>
        <w:rFonts w:ascii="Tahoma" w:hAnsi="Tahoma" w:cs="Tahoma"/>
        <w:sz w:val="24"/>
        <w:szCs w:val="24"/>
      </w:rPr>
    </w:pPr>
    <w:r>
      <w:rPr>
        <w:noProof/>
        <w:lang w:val="en-US"/>
      </w:rPr>
      <w:drawing>
        <wp:inline distT="0" distB="0" distL="0" distR="0">
          <wp:extent cx="86677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9805D0" w:rsidRPr="00BA3EEE" w:rsidRDefault="009805D0">
    <w:pPr>
      <w:pStyle w:val="Header"/>
      <w:rPr>
        <w:rFonts w:ascii="Tahoma" w:hAnsi="Tahoma" w:cs="Tahoma"/>
        <w:sz w:val="40"/>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D0" w:rsidRPr="00146CD5" w:rsidRDefault="009805D0" w:rsidP="00F22FFA">
    <w:pPr>
      <w:pStyle w:val="Header"/>
      <w:rPr>
        <w:rFonts w:ascii="Tahoma" w:hAnsi="Tahoma" w:cs="Tahoma"/>
        <w:sz w:val="22"/>
        <w:szCs w:val="22"/>
      </w:rPr>
    </w:pPr>
  </w:p>
  <w:p w:rsidR="009805D0" w:rsidRPr="00146CD5" w:rsidRDefault="00F9463C" w:rsidP="00146CD5">
    <w:pPr>
      <w:pStyle w:val="Header"/>
      <w:jc w:val="center"/>
      <w:rPr>
        <w:rFonts w:ascii="Tahoma" w:hAnsi="Tahoma" w:cs="Tahoma"/>
        <w:sz w:val="22"/>
        <w:szCs w:val="22"/>
      </w:rPr>
    </w:pPr>
    <w:r>
      <w:rPr>
        <w:noProof/>
        <w:lang w:val="en-US"/>
      </w:rPr>
      <w:drawing>
        <wp:inline distT="0" distB="0" distL="0" distR="0">
          <wp:extent cx="866775"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9805D0" w:rsidRPr="00BA3EEE" w:rsidRDefault="009805D0" w:rsidP="00F22FFA">
    <w:pPr>
      <w:pStyle w:val="Header"/>
      <w:rPr>
        <w:rFonts w:ascii="Tahoma" w:hAnsi="Tahoma" w:cs="Tahoma"/>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B6D32"/>
    <w:multiLevelType w:val="hybridMultilevel"/>
    <w:tmpl w:val="B32E8328"/>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hint="default"/>
      </w:rPr>
    </w:lvl>
    <w:lvl w:ilvl="8" w:tplc="0408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oNotHyphenateCap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46"/>
    <w:rsid w:val="00005C6E"/>
    <w:rsid w:val="000139AB"/>
    <w:rsid w:val="00021B7F"/>
    <w:rsid w:val="00024F65"/>
    <w:rsid w:val="00035DC9"/>
    <w:rsid w:val="00044229"/>
    <w:rsid w:val="00056D96"/>
    <w:rsid w:val="00082762"/>
    <w:rsid w:val="00091342"/>
    <w:rsid w:val="000D5061"/>
    <w:rsid w:val="000E0A29"/>
    <w:rsid w:val="001014A1"/>
    <w:rsid w:val="00104904"/>
    <w:rsid w:val="00122D8B"/>
    <w:rsid w:val="00142820"/>
    <w:rsid w:val="00146CD5"/>
    <w:rsid w:val="00150A23"/>
    <w:rsid w:val="001828DC"/>
    <w:rsid w:val="00182B41"/>
    <w:rsid w:val="001A2316"/>
    <w:rsid w:val="001C7713"/>
    <w:rsid w:val="00214B04"/>
    <w:rsid w:val="00224C84"/>
    <w:rsid w:val="0023352C"/>
    <w:rsid w:val="0023379C"/>
    <w:rsid w:val="00246774"/>
    <w:rsid w:val="00256A7B"/>
    <w:rsid w:val="002665A6"/>
    <w:rsid w:val="00281C28"/>
    <w:rsid w:val="00282120"/>
    <w:rsid w:val="00287560"/>
    <w:rsid w:val="00293372"/>
    <w:rsid w:val="002A6996"/>
    <w:rsid w:val="002B236F"/>
    <w:rsid w:val="002F75CE"/>
    <w:rsid w:val="00301819"/>
    <w:rsid w:val="0031081B"/>
    <w:rsid w:val="003205B4"/>
    <w:rsid w:val="003206EE"/>
    <w:rsid w:val="00321518"/>
    <w:rsid w:val="003227AC"/>
    <w:rsid w:val="00333003"/>
    <w:rsid w:val="00340F59"/>
    <w:rsid w:val="00362EBC"/>
    <w:rsid w:val="00386750"/>
    <w:rsid w:val="00395689"/>
    <w:rsid w:val="003A26CB"/>
    <w:rsid w:val="003A38B9"/>
    <w:rsid w:val="003A55C9"/>
    <w:rsid w:val="003E06BE"/>
    <w:rsid w:val="003F2137"/>
    <w:rsid w:val="00433446"/>
    <w:rsid w:val="00442788"/>
    <w:rsid w:val="00471EA2"/>
    <w:rsid w:val="0047579F"/>
    <w:rsid w:val="00480FCE"/>
    <w:rsid w:val="00481C8D"/>
    <w:rsid w:val="00494442"/>
    <w:rsid w:val="004A7E6C"/>
    <w:rsid w:val="004B5AA7"/>
    <w:rsid w:val="004C123F"/>
    <w:rsid w:val="004C74AD"/>
    <w:rsid w:val="004E5D37"/>
    <w:rsid w:val="004F10CD"/>
    <w:rsid w:val="004F4A87"/>
    <w:rsid w:val="00521AAD"/>
    <w:rsid w:val="0052325F"/>
    <w:rsid w:val="0054593C"/>
    <w:rsid w:val="0057720B"/>
    <w:rsid w:val="005A2A42"/>
    <w:rsid w:val="005B51AF"/>
    <w:rsid w:val="005C462C"/>
    <w:rsid w:val="005C7726"/>
    <w:rsid w:val="005E0F42"/>
    <w:rsid w:val="005E50A2"/>
    <w:rsid w:val="005F7941"/>
    <w:rsid w:val="0060309B"/>
    <w:rsid w:val="00611728"/>
    <w:rsid w:val="0061234C"/>
    <w:rsid w:val="0063255E"/>
    <w:rsid w:val="00652FAA"/>
    <w:rsid w:val="00661427"/>
    <w:rsid w:val="00680179"/>
    <w:rsid w:val="00695538"/>
    <w:rsid w:val="00695A87"/>
    <w:rsid w:val="006C1EF6"/>
    <w:rsid w:val="006C4581"/>
    <w:rsid w:val="006F155C"/>
    <w:rsid w:val="006F1C82"/>
    <w:rsid w:val="006F37C9"/>
    <w:rsid w:val="007107CC"/>
    <w:rsid w:val="00741CCE"/>
    <w:rsid w:val="0075514F"/>
    <w:rsid w:val="00771DCA"/>
    <w:rsid w:val="00786B5B"/>
    <w:rsid w:val="007A345B"/>
    <w:rsid w:val="007B385B"/>
    <w:rsid w:val="007B45B5"/>
    <w:rsid w:val="007C14BA"/>
    <w:rsid w:val="007E62DB"/>
    <w:rsid w:val="007F2E4C"/>
    <w:rsid w:val="00853AE1"/>
    <w:rsid w:val="008832F5"/>
    <w:rsid w:val="00886A0F"/>
    <w:rsid w:val="008B5F9D"/>
    <w:rsid w:val="008E4734"/>
    <w:rsid w:val="008F1FB0"/>
    <w:rsid w:val="00913373"/>
    <w:rsid w:val="009237EA"/>
    <w:rsid w:val="00934A80"/>
    <w:rsid w:val="009648CA"/>
    <w:rsid w:val="009805D0"/>
    <w:rsid w:val="0099434D"/>
    <w:rsid w:val="0099445E"/>
    <w:rsid w:val="009A7C91"/>
    <w:rsid w:val="009D272C"/>
    <w:rsid w:val="009D5885"/>
    <w:rsid w:val="009E0694"/>
    <w:rsid w:val="009E7F2F"/>
    <w:rsid w:val="009F7D5B"/>
    <w:rsid w:val="00A15030"/>
    <w:rsid w:val="00A2733F"/>
    <w:rsid w:val="00A31544"/>
    <w:rsid w:val="00A31DED"/>
    <w:rsid w:val="00A34303"/>
    <w:rsid w:val="00A372E5"/>
    <w:rsid w:val="00A6329D"/>
    <w:rsid w:val="00AA2EE7"/>
    <w:rsid w:val="00AD77B6"/>
    <w:rsid w:val="00AE6F68"/>
    <w:rsid w:val="00AF25C6"/>
    <w:rsid w:val="00AF61C5"/>
    <w:rsid w:val="00B473E5"/>
    <w:rsid w:val="00B876CA"/>
    <w:rsid w:val="00B97C34"/>
    <w:rsid w:val="00BA21E3"/>
    <w:rsid w:val="00BA3EEE"/>
    <w:rsid w:val="00BD47EA"/>
    <w:rsid w:val="00BE5A12"/>
    <w:rsid w:val="00BE6E0E"/>
    <w:rsid w:val="00BF0C87"/>
    <w:rsid w:val="00C306FF"/>
    <w:rsid w:val="00C561D5"/>
    <w:rsid w:val="00C8210F"/>
    <w:rsid w:val="00C9332C"/>
    <w:rsid w:val="00CB66E4"/>
    <w:rsid w:val="00CC717C"/>
    <w:rsid w:val="00CD6B5B"/>
    <w:rsid w:val="00D031B8"/>
    <w:rsid w:val="00D05DB5"/>
    <w:rsid w:val="00D20949"/>
    <w:rsid w:val="00D2329D"/>
    <w:rsid w:val="00D32389"/>
    <w:rsid w:val="00D61585"/>
    <w:rsid w:val="00D66715"/>
    <w:rsid w:val="00D913FB"/>
    <w:rsid w:val="00D93813"/>
    <w:rsid w:val="00DA0821"/>
    <w:rsid w:val="00DA2D31"/>
    <w:rsid w:val="00DA56C2"/>
    <w:rsid w:val="00DB5B2E"/>
    <w:rsid w:val="00DC22DA"/>
    <w:rsid w:val="00DF20C6"/>
    <w:rsid w:val="00DF76CC"/>
    <w:rsid w:val="00E00D26"/>
    <w:rsid w:val="00E02967"/>
    <w:rsid w:val="00E1300A"/>
    <w:rsid w:val="00E36DF9"/>
    <w:rsid w:val="00E42E33"/>
    <w:rsid w:val="00E54E72"/>
    <w:rsid w:val="00E7290F"/>
    <w:rsid w:val="00E979A2"/>
    <w:rsid w:val="00EA1818"/>
    <w:rsid w:val="00EB0D65"/>
    <w:rsid w:val="00EB6EAC"/>
    <w:rsid w:val="00EC5662"/>
    <w:rsid w:val="00EE44D9"/>
    <w:rsid w:val="00F05A22"/>
    <w:rsid w:val="00F137BF"/>
    <w:rsid w:val="00F170B0"/>
    <w:rsid w:val="00F22FFA"/>
    <w:rsid w:val="00F47F1B"/>
    <w:rsid w:val="00F71C46"/>
    <w:rsid w:val="00F875B4"/>
    <w:rsid w:val="00F9463C"/>
    <w:rsid w:val="00FB35C8"/>
    <w:rsid w:val="00FE770F"/>
    <w:rsid w:val="00FF40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2980E8EC-0E71-40F0-9FB7-043EAC85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10F"/>
    <w:rPr>
      <w:rFonts w:ascii="dd" w:hAnsi="dd"/>
      <w:sz w:val="20"/>
      <w:szCs w:val="20"/>
      <w:lang w:val="en-GB" w:eastAsia="en-US"/>
    </w:rPr>
  </w:style>
  <w:style w:type="paragraph" w:styleId="Heading1">
    <w:name w:val="heading 1"/>
    <w:basedOn w:val="Normal"/>
    <w:next w:val="Normal"/>
    <w:link w:val="Heading1Char"/>
    <w:uiPriority w:val="99"/>
    <w:qFormat/>
    <w:rsid w:val="00C8210F"/>
    <w:pPr>
      <w:keepNext/>
      <w:outlineLvl w:val="0"/>
    </w:pPr>
    <w:rPr>
      <w:rFonts w:ascii="Tahoma" w:hAnsi="Tahoma" w:cs="Tahoma"/>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85B"/>
    <w:rPr>
      <w:rFonts w:ascii="Cambria" w:hAnsi="Cambria" w:cs="Times New Roman"/>
      <w:b/>
      <w:bCs/>
      <w:kern w:val="32"/>
      <w:sz w:val="32"/>
      <w:szCs w:val="32"/>
      <w:lang w:val="en-GB" w:eastAsia="en-US"/>
    </w:rPr>
  </w:style>
  <w:style w:type="paragraph" w:styleId="Header">
    <w:name w:val="header"/>
    <w:basedOn w:val="Normal"/>
    <w:link w:val="HeaderChar"/>
    <w:uiPriority w:val="99"/>
    <w:semiHidden/>
    <w:rsid w:val="00C8210F"/>
    <w:pPr>
      <w:tabs>
        <w:tab w:val="center" w:pos="4153"/>
        <w:tab w:val="right" w:pos="8306"/>
      </w:tabs>
    </w:pPr>
  </w:style>
  <w:style w:type="character" w:customStyle="1" w:styleId="HeaderChar">
    <w:name w:val="Header Char"/>
    <w:basedOn w:val="DefaultParagraphFont"/>
    <w:link w:val="Header"/>
    <w:uiPriority w:val="99"/>
    <w:semiHidden/>
    <w:locked/>
    <w:rsid w:val="007B385B"/>
    <w:rPr>
      <w:rFonts w:ascii="dd" w:hAnsi="dd" w:cs="Times New Roman"/>
      <w:sz w:val="20"/>
      <w:szCs w:val="20"/>
      <w:lang w:val="en-GB" w:eastAsia="en-US"/>
    </w:rPr>
  </w:style>
  <w:style w:type="paragraph" w:styleId="Footer">
    <w:name w:val="footer"/>
    <w:basedOn w:val="Normal"/>
    <w:link w:val="FooterChar1"/>
    <w:uiPriority w:val="99"/>
    <w:rsid w:val="00C8210F"/>
    <w:pPr>
      <w:tabs>
        <w:tab w:val="center" w:pos="4153"/>
        <w:tab w:val="right" w:pos="8306"/>
      </w:tabs>
    </w:pPr>
  </w:style>
  <w:style w:type="character" w:customStyle="1" w:styleId="FooterChar">
    <w:name w:val="Footer Char"/>
    <w:basedOn w:val="DefaultParagraphFont"/>
    <w:uiPriority w:val="99"/>
    <w:semiHidden/>
    <w:locked/>
    <w:rsid w:val="00E00D26"/>
    <w:rPr>
      <w:rFonts w:cs="Times New Roman"/>
    </w:rPr>
  </w:style>
  <w:style w:type="character" w:styleId="PageNumber">
    <w:name w:val="page number"/>
    <w:basedOn w:val="DefaultParagraphFont"/>
    <w:uiPriority w:val="99"/>
    <w:semiHidden/>
    <w:rsid w:val="00C8210F"/>
    <w:rPr>
      <w:rFonts w:ascii="Tahoma" w:hAnsi="Tahoma" w:cs="Times New Roman"/>
      <w:sz w:val="22"/>
    </w:rPr>
  </w:style>
  <w:style w:type="character" w:styleId="Hyperlink">
    <w:name w:val="Hyperlink"/>
    <w:basedOn w:val="DefaultParagraphFont"/>
    <w:uiPriority w:val="99"/>
    <w:rsid w:val="00F22FFA"/>
    <w:rPr>
      <w:rFonts w:cs="Times New Roman"/>
      <w:color w:val="0000FF"/>
      <w:u w:val="single"/>
    </w:rPr>
  </w:style>
  <w:style w:type="character" w:customStyle="1" w:styleId="FooterChar1">
    <w:name w:val="Footer Char1"/>
    <w:link w:val="Footer"/>
    <w:uiPriority w:val="99"/>
    <w:locked/>
    <w:rsid w:val="00786B5B"/>
    <w:rPr>
      <w:rFonts w:ascii="dd" w:hAnsi="dd"/>
      <w:lang w:val="en-GB" w:eastAsia="en-US"/>
    </w:rPr>
  </w:style>
  <w:style w:type="paragraph" w:styleId="ListParagraph">
    <w:name w:val="List Paragraph"/>
    <w:basedOn w:val="Normal"/>
    <w:uiPriority w:val="99"/>
    <w:qFormat/>
    <w:rsid w:val="000E0A29"/>
    <w:pPr>
      <w:spacing w:after="200" w:line="276" w:lineRule="auto"/>
      <w:ind w:left="720"/>
      <w:contextualSpacing/>
    </w:pPr>
    <w:rPr>
      <w:rFonts w:ascii="Calibri" w:hAnsi="Calibri"/>
      <w:sz w:val="22"/>
      <w:szCs w:val="22"/>
      <w:lang w:val="el-GR"/>
    </w:rPr>
  </w:style>
  <w:style w:type="character" w:customStyle="1" w:styleId="Bodytext2Bold">
    <w:name w:val="Body text (2) + Bold"/>
    <w:uiPriority w:val="99"/>
    <w:rsid w:val="000E0A29"/>
    <w:rPr>
      <w:rFonts w:ascii="Times New Roman" w:hAnsi="Times New Roman"/>
      <w:b/>
      <w:color w:val="000000"/>
      <w:spacing w:val="0"/>
      <w:w w:val="100"/>
      <w:position w:val="0"/>
      <w:sz w:val="24"/>
      <w:u w:val="none"/>
      <w:lang w:val="el-GR" w:eastAsia="el-GR"/>
    </w:rPr>
  </w:style>
  <w:style w:type="character" w:customStyle="1" w:styleId="tlid-translationtranslation">
    <w:name w:val="tlid-translation translation"/>
    <w:basedOn w:val="DefaultParagraphFont"/>
    <w:uiPriority w:val="99"/>
    <w:rsid w:val="00E729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643895">
      <w:marLeft w:val="0"/>
      <w:marRight w:val="0"/>
      <w:marTop w:val="0"/>
      <w:marBottom w:val="0"/>
      <w:divBdr>
        <w:top w:val="none" w:sz="0" w:space="0" w:color="auto"/>
        <w:left w:val="none" w:sz="0" w:space="0" w:color="auto"/>
        <w:bottom w:val="none" w:sz="0" w:space="0" w:color="auto"/>
        <w:right w:val="none" w:sz="0" w:space="0" w:color="auto"/>
      </w:divBdr>
    </w:div>
    <w:div w:id="1780643896">
      <w:marLeft w:val="0"/>
      <w:marRight w:val="0"/>
      <w:marTop w:val="0"/>
      <w:marBottom w:val="0"/>
      <w:divBdr>
        <w:top w:val="none" w:sz="0" w:space="0" w:color="auto"/>
        <w:left w:val="none" w:sz="0" w:space="0" w:color="auto"/>
        <w:bottom w:val="none" w:sz="0" w:space="0" w:color="auto"/>
        <w:right w:val="none" w:sz="0" w:space="0" w:color="auto"/>
      </w:divBdr>
    </w:div>
    <w:div w:id="1780643897">
      <w:marLeft w:val="0"/>
      <w:marRight w:val="0"/>
      <w:marTop w:val="0"/>
      <w:marBottom w:val="0"/>
      <w:divBdr>
        <w:top w:val="none" w:sz="0" w:space="0" w:color="auto"/>
        <w:left w:val="none" w:sz="0" w:space="0" w:color="auto"/>
        <w:bottom w:val="none" w:sz="0" w:space="0" w:color="auto"/>
        <w:right w:val="none" w:sz="0" w:space="0" w:color="auto"/>
      </w:divBdr>
    </w:div>
    <w:div w:id="1780643898">
      <w:marLeft w:val="0"/>
      <w:marRight w:val="0"/>
      <w:marTop w:val="0"/>
      <w:marBottom w:val="0"/>
      <w:divBdr>
        <w:top w:val="none" w:sz="0" w:space="0" w:color="auto"/>
        <w:left w:val="none" w:sz="0" w:space="0" w:color="auto"/>
        <w:bottom w:val="none" w:sz="0" w:space="0" w:color="auto"/>
        <w:right w:val="none" w:sz="0" w:space="0" w:color="auto"/>
      </w:divBdr>
    </w:div>
    <w:div w:id="1780643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p-avax.gr/default.aspx?pid=335&amp;CTID=20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cmc.gr/en_EN/web/portal/elib/delt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hexgroup.gr/en/web/guest/company-prospectus/-/select-company/1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FAX Form - Hellenic</vt:lpstr>
    </vt:vector>
  </TitlesOfParts>
  <Company>Tradelink</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Form - Hellenic</dc:title>
  <dc:subject/>
  <dc:creator>Chrysa Mylonaki</dc:creator>
  <cp:keywords/>
  <dc:description/>
  <cp:lastModifiedBy>Riga, Evgenia</cp:lastModifiedBy>
  <cp:revision>2</cp:revision>
  <cp:lastPrinted>2019-04-19T13:22:00Z</cp:lastPrinted>
  <dcterms:created xsi:type="dcterms:W3CDTF">2020-01-20T15:39:00Z</dcterms:created>
  <dcterms:modified xsi:type="dcterms:W3CDTF">2020-01-20T15:39:00Z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0x010100F58D1D1700681F4797F3D7DB6D48B944</vt:lpwstr>
  </property>
  <property fmtid="{D5CDD505-2E9C-101B-9397-08002B2CF9AE}" pid="3" name="docIndexRef">
    <vt:lpwstr>3cb3fdb5-1355-462a-9405-6bb09dc150f4</vt:lpwstr>
  </property>
  <property fmtid="{D5CDD505-2E9C-101B-9397-08002B2CF9AE}" pid="4" name="bjSaver">
    <vt:lpwstr>gwcbu/h+hrsOq+s5mBIwqIPoKGNji4+3</vt:lpwstr>
  </property>
  <property fmtid="{D5CDD505-2E9C-101B-9397-08002B2CF9AE}" pid="5" name="bjDocumentSecurityLabel">
    <vt:lpwstr>No Marking</vt:lpwstr>
  </property>
</Properties>
</file>