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F8" w:rsidRDefault="007D78F8">
      <w:pPr>
        <w:pStyle w:val="Header"/>
        <w:tabs>
          <w:tab w:val="clear" w:pos="4153"/>
          <w:tab w:val="clear" w:pos="8306"/>
        </w:tabs>
        <w:ind w:left="-850" w:right="-850"/>
        <w:jc w:val="both"/>
        <w:rPr>
          <w:rFonts w:ascii="Tahoma" w:hAnsi="Tahoma" w:cs="Tahoma"/>
          <w:sz w:val="8"/>
          <w:szCs w:val="8"/>
          <w:lang w:val="el-GR"/>
        </w:rPr>
      </w:pPr>
    </w:p>
    <w:p w:rsidR="007D78F8" w:rsidRDefault="007D78F8">
      <w:pPr>
        <w:pStyle w:val="Header"/>
        <w:tabs>
          <w:tab w:val="clear" w:pos="4153"/>
          <w:tab w:val="clear" w:pos="8306"/>
        </w:tabs>
        <w:ind w:left="-850" w:right="-850"/>
        <w:jc w:val="both"/>
        <w:rPr>
          <w:rFonts w:ascii="Tahoma" w:hAnsi="Tahoma" w:cs="Tahoma"/>
          <w:sz w:val="16"/>
          <w:szCs w:val="16"/>
          <w:lang w:val="el-GR"/>
        </w:rPr>
        <w:sectPr w:rsidR="007D78F8">
          <w:headerReference w:type="default" r:id="rId7"/>
          <w:footerReference w:type="default" r:id="rId8"/>
          <w:headerReference w:type="first" r:id="rId9"/>
          <w:footerReference w:type="first" r:id="rId10"/>
          <w:pgSz w:w="11906" w:h="16838" w:code="9"/>
          <w:pgMar w:top="1440" w:right="1800" w:bottom="864" w:left="1800" w:header="706" w:footer="259" w:gutter="0"/>
          <w:cols w:space="708"/>
          <w:titlePg/>
          <w:docGrid w:linePitch="360"/>
        </w:sectPr>
      </w:pPr>
    </w:p>
    <w:p w:rsidR="007D78F8" w:rsidRPr="00925B0D" w:rsidRDefault="007D78F8" w:rsidP="00953549">
      <w:pPr>
        <w:spacing w:before="100" w:beforeAutospacing="1" w:after="100" w:afterAutospacing="1"/>
        <w:jc w:val="center"/>
        <w:rPr>
          <w:rFonts w:ascii="Calibri" w:hAnsi="Calibri" w:cs="Calibri"/>
          <w:b/>
          <w:bCs/>
          <w:sz w:val="22"/>
          <w:szCs w:val="22"/>
          <w:lang w:eastAsia="el-GR"/>
        </w:rPr>
      </w:pPr>
      <w:r w:rsidRPr="00925B0D">
        <w:rPr>
          <w:rFonts w:ascii="Calibri" w:hAnsi="Calibri" w:cs="Calibri"/>
          <w:b/>
          <w:bCs/>
          <w:sz w:val="22"/>
          <w:szCs w:val="22"/>
          <w:lang w:val="en-US" w:eastAsia="el-GR"/>
        </w:rPr>
        <w:t>AVAX</w:t>
      </w:r>
      <w:r w:rsidRPr="00925B0D">
        <w:rPr>
          <w:rFonts w:ascii="Calibri" w:hAnsi="Calibri" w:cs="Calibri"/>
          <w:b/>
          <w:bCs/>
          <w:sz w:val="22"/>
          <w:szCs w:val="22"/>
          <w:lang w:eastAsia="el-GR"/>
        </w:rPr>
        <w:t xml:space="preserve"> </w:t>
      </w:r>
      <w:r w:rsidRPr="00925B0D">
        <w:rPr>
          <w:rFonts w:ascii="Calibri" w:hAnsi="Calibri" w:cs="Calibri"/>
          <w:b/>
          <w:bCs/>
          <w:sz w:val="22"/>
          <w:szCs w:val="22"/>
          <w:lang w:val="en-US" w:eastAsia="el-GR"/>
        </w:rPr>
        <w:t>SA</w:t>
      </w:r>
    </w:p>
    <w:p w:rsidR="007D78F8" w:rsidRPr="00925B0D" w:rsidRDefault="007D78F8" w:rsidP="00953549">
      <w:pPr>
        <w:spacing w:before="100" w:beforeAutospacing="1" w:after="100" w:afterAutospacing="1"/>
        <w:jc w:val="center"/>
        <w:rPr>
          <w:rFonts w:ascii="Calibri" w:hAnsi="Calibri" w:cs="Calibri"/>
          <w:b/>
          <w:bCs/>
          <w:sz w:val="22"/>
          <w:szCs w:val="22"/>
          <w:lang w:eastAsia="el-GR"/>
        </w:rPr>
      </w:pPr>
      <w:r w:rsidRPr="00925B0D">
        <w:rPr>
          <w:rFonts w:ascii="Calibri" w:hAnsi="Calibri" w:cs="Calibri"/>
          <w:b/>
          <w:bCs/>
          <w:sz w:val="22"/>
          <w:szCs w:val="22"/>
          <w:lang w:val="en-US" w:eastAsia="el-GR"/>
        </w:rPr>
        <w:t>ANNOUNCEMENT ON PUBLICATION OF INFORMATION MEMORANDUM</w:t>
      </w:r>
    </w:p>
    <w:p w:rsidR="007D78F8" w:rsidRPr="00925B0D" w:rsidRDefault="007D78F8" w:rsidP="00953549">
      <w:pPr>
        <w:spacing w:before="100" w:beforeAutospacing="1" w:after="240"/>
        <w:jc w:val="both"/>
        <w:rPr>
          <w:rFonts w:ascii="Calibri" w:hAnsi="Calibri" w:cs="Arial"/>
          <w:sz w:val="22"/>
          <w:szCs w:val="22"/>
        </w:rPr>
      </w:pPr>
      <w:r w:rsidRPr="00925B0D">
        <w:rPr>
          <w:rFonts w:ascii="Calibri" w:hAnsi="Calibri" w:cs="Arial"/>
          <w:b/>
          <w:bCs/>
          <w:sz w:val="22"/>
          <w:szCs w:val="22"/>
          <w:lang w:val="en-US"/>
        </w:rPr>
        <w:t>AVAX</w:t>
      </w:r>
      <w:r w:rsidRPr="00925B0D">
        <w:rPr>
          <w:rFonts w:ascii="Calibri" w:hAnsi="Calibri" w:cs="Arial"/>
          <w:b/>
          <w:bCs/>
          <w:sz w:val="22"/>
          <w:szCs w:val="22"/>
        </w:rPr>
        <w:t xml:space="preserve"> </w:t>
      </w:r>
      <w:r w:rsidRPr="00925B0D">
        <w:rPr>
          <w:rFonts w:ascii="Calibri" w:hAnsi="Calibri" w:cs="Arial"/>
          <w:b/>
          <w:bCs/>
          <w:sz w:val="22"/>
          <w:szCs w:val="22"/>
          <w:lang w:val="en-US"/>
        </w:rPr>
        <w:t>SA</w:t>
      </w:r>
      <w:r w:rsidRPr="00925B0D">
        <w:rPr>
          <w:rFonts w:ascii="Calibri" w:hAnsi="Calibri" w:cs="Arial"/>
          <w:sz w:val="22"/>
          <w:szCs w:val="22"/>
        </w:rPr>
        <w:t xml:space="preserve"> (</w:t>
      </w:r>
      <w:r w:rsidRPr="00925B0D">
        <w:rPr>
          <w:rFonts w:ascii="Calibri" w:hAnsi="Calibri" w:cs="Arial"/>
          <w:sz w:val="22"/>
          <w:szCs w:val="22"/>
          <w:lang w:val="en-US"/>
        </w:rPr>
        <w:t>hereinafter</w:t>
      </w:r>
      <w:r w:rsidRPr="00925B0D">
        <w:rPr>
          <w:rFonts w:ascii="Calibri" w:hAnsi="Calibri" w:cs="Arial"/>
          <w:sz w:val="22"/>
          <w:szCs w:val="22"/>
        </w:rPr>
        <w:t xml:space="preserve"> referred to as </w:t>
      </w:r>
      <w:r w:rsidRPr="00925B0D">
        <w:rPr>
          <w:rFonts w:ascii="Calibri" w:hAnsi="Calibri" w:cs="Arial"/>
          <w:sz w:val="22"/>
          <w:szCs w:val="22"/>
          <w:lang w:val="en-US"/>
        </w:rPr>
        <w:t xml:space="preserve">the </w:t>
      </w:r>
      <w:r w:rsidRPr="00925B0D">
        <w:rPr>
          <w:rFonts w:ascii="Calibri" w:hAnsi="Calibri" w:cs="Arial"/>
          <w:sz w:val="22"/>
          <w:szCs w:val="22"/>
        </w:rPr>
        <w:t>«</w:t>
      </w:r>
      <w:r w:rsidRPr="00925B0D">
        <w:rPr>
          <w:rFonts w:ascii="Calibri" w:hAnsi="Calibri" w:cs="Arial"/>
          <w:b/>
          <w:bCs/>
          <w:sz w:val="22"/>
          <w:szCs w:val="22"/>
          <w:lang w:val="en-US"/>
        </w:rPr>
        <w:t>Company</w:t>
      </w:r>
      <w:r w:rsidRPr="00925B0D">
        <w:rPr>
          <w:rFonts w:ascii="Calibri" w:hAnsi="Calibri" w:cs="Arial"/>
          <w:sz w:val="22"/>
          <w:szCs w:val="22"/>
        </w:rPr>
        <w:t xml:space="preserve">») </w:t>
      </w:r>
      <w:r w:rsidRPr="00925B0D">
        <w:rPr>
          <w:rFonts w:ascii="Calibri" w:hAnsi="Calibri" w:cs="Arial"/>
          <w:sz w:val="22"/>
          <w:szCs w:val="22"/>
          <w:lang w:val="en-US"/>
        </w:rPr>
        <w:t>announces i</w:t>
      </w:r>
      <w:r w:rsidRPr="00925B0D">
        <w:rPr>
          <w:rStyle w:val="tlid-translationtranslation"/>
          <w:rFonts w:ascii="Calibri" w:hAnsi="Calibri"/>
          <w:sz w:val="22"/>
          <w:szCs w:val="22"/>
        </w:rPr>
        <w:t>n accordance with Commission Regulation (EC) No 2016/301 and Law 3401/2005, as in force, that as of 21.01.2020 it makes available to the investing public the Information Memorandum approved by the Board of Directors of the Capital Market Commission on 20.01.2020, regarding the public offering of 66,666,666 new, ordinary voting shares (hereinafter "New Shares"), to be issued in the context of the rights issue and listed on the Athens Stock Exchange’s Regulatory Market (hereinafter "</w:t>
      </w:r>
      <w:r w:rsidRPr="00925B0D">
        <w:rPr>
          <w:rStyle w:val="tlid-translationtranslation"/>
          <w:rFonts w:ascii="Calibri" w:hAnsi="Calibri"/>
          <w:b/>
          <w:sz w:val="22"/>
          <w:szCs w:val="22"/>
        </w:rPr>
        <w:t>Athens Bourse</w:t>
      </w:r>
      <w:r w:rsidRPr="00925B0D">
        <w:rPr>
          <w:rStyle w:val="tlid-translationtranslation"/>
          <w:rFonts w:ascii="Calibri" w:hAnsi="Calibri"/>
          <w:sz w:val="22"/>
          <w:szCs w:val="22"/>
        </w:rPr>
        <w:t>"), in accordance with the decision of the Extraordinary General Meeting of the Company's shareholders dated 26.09.2019, in conjunction with the decision dated 15.01.2020 of the Board of Directors of the Company (hereinafter referred to as "</w:t>
      </w:r>
      <w:r w:rsidRPr="00925B0D">
        <w:rPr>
          <w:rStyle w:val="tlid-translationtranslation"/>
          <w:rFonts w:ascii="Calibri" w:hAnsi="Calibri"/>
          <w:b/>
          <w:sz w:val="22"/>
          <w:szCs w:val="22"/>
        </w:rPr>
        <w:t>Capital</w:t>
      </w:r>
      <w:r w:rsidRPr="00925B0D">
        <w:rPr>
          <w:rStyle w:val="tlid-translationtranslation"/>
          <w:rFonts w:ascii="Calibri" w:hAnsi="Calibri"/>
          <w:sz w:val="22"/>
          <w:szCs w:val="22"/>
        </w:rPr>
        <w:t xml:space="preserve"> </w:t>
      </w:r>
      <w:r w:rsidRPr="00925B0D">
        <w:rPr>
          <w:rStyle w:val="tlid-translationtranslation"/>
          <w:rFonts w:ascii="Calibri" w:hAnsi="Calibri"/>
          <w:b/>
          <w:sz w:val="22"/>
          <w:szCs w:val="22"/>
        </w:rPr>
        <w:t>Increase</w:t>
      </w:r>
      <w:r w:rsidRPr="00925B0D">
        <w:rPr>
          <w:rStyle w:val="tlid-translationtranslation"/>
          <w:rFonts w:ascii="Calibri" w:hAnsi="Calibri"/>
          <w:sz w:val="22"/>
          <w:szCs w:val="22"/>
        </w:rPr>
        <w:t>").</w:t>
      </w:r>
    </w:p>
    <w:p w:rsidR="007D78F8" w:rsidRPr="00925B0D" w:rsidRDefault="007D78F8" w:rsidP="00953549">
      <w:pPr>
        <w:spacing w:before="100" w:beforeAutospacing="1" w:after="240"/>
        <w:jc w:val="both"/>
        <w:rPr>
          <w:rStyle w:val="tlid-translationtranslation"/>
          <w:rFonts w:ascii="Calibri" w:hAnsi="Calibri"/>
          <w:sz w:val="22"/>
          <w:szCs w:val="22"/>
        </w:rPr>
      </w:pPr>
      <w:r w:rsidRPr="00925B0D">
        <w:rPr>
          <w:rStyle w:val="tlid-translationtranslation"/>
          <w:rFonts w:ascii="Calibri" w:hAnsi="Calibri"/>
          <w:sz w:val="22"/>
          <w:szCs w:val="22"/>
        </w:rPr>
        <w:t>Information on the exercise of rights by investors is provided in section 4.4 "Exercise of Rights" in the Prospectus.</w:t>
      </w:r>
    </w:p>
    <w:p w:rsidR="007D78F8" w:rsidRPr="00925B0D" w:rsidRDefault="007D78F8" w:rsidP="00953549">
      <w:pPr>
        <w:spacing w:before="100" w:beforeAutospacing="1" w:after="240"/>
        <w:jc w:val="both"/>
        <w:rPr>
          <w:rFonts w:ascii="Calibri" w:hAnsi="Calibri" w:cs="Arial"/>
          <w:sz w:val="22"/>
          <w:szCs w:val="22"/>
        </w:rPr>
      </w:pPr>
      <w:r w:rsidRPr="00925B0D">
        <w:rPr>
          <w:rStyle w:val="tlid-translationtranslation"/>
          <w:rFonts w:ascii="Calibri" w:hAnsi="Calibri"/>
          <w:sz w:val="22"/>
          <w:szCs w:val="22"/>
        </w:rPr>
        <w:t>The following is the expected timetable for the completion of the Growth:</w:t>
      </w:r>
    </w:p>
    <w:tbl>
      <w:tblPr>
        <w:tblW w:w="4988" w:type="pct"/>
        <w:tblInd w:w="108" w:type="dxa"/>
        <w:tblLayout w:type="fixed"/>
        <w:tblLook w:val="00A0"/>
      </w:tblPr>
      <w:tblGrid>
        <w:gridCol w:w="8038"/>
        <w:gridCol w:w="1849"/>
      </w:tblGrid>
      <w:tr w:rsidR="007D78F8" w:rsidRPr="00925B0D" w:rsidTr="00F8386F">
        <w:trPr>
          <w:trHeight w:val="20"/>
        </w:trPr>
        <w:tc>
          <w:tcPr>
            <w:tcW w:w="4065" w:type="pct"/>
            <w:tcBorders>
              <w:top w:val="nil"/>
              <w:left w:val="dotted" w:sz="4" w:space="0" w:color="BFBFBF"/>
              <w:bottom w:val="single" w:sz="4" w:space="0" w:color="auto"/>
              <w:right w:val="dotted" w:sz="4" w:space="0" w:color="BFBFBF"/>
            </w:tcBorders>
            <w:shd w:val="clear" w:color="auto" w:fill="7F7F7F"/>
            <w:noWrap/>
            <w:vAlign w:val="center"/>
          </w:tcPr>
          <w:p w:rsidR="007D78F8" w:rsidRPr="00925B0D" w:rsidRDefault="007D78F8" w:rsidP="00F8386F">
            <w:pPr>
              <w:jc w:val="center"/>
              <w:rPr>
                <w:rFonts w:ascii="Calibri" w:hAnsi="Calibri" w:cs="Arial"/>
                <w:color w:val="FFFFFF"/>
                <w:sz w:val="22"/>
                <w:szCs w:val="22"/>
                <w:highlight w:val="lightGray"/>
              </w:rPr>
            </w:pPr>
            <w:r w:rsidRPr="00925B0D">
              <w:rPr>
                <w:rFonts w:ascii="Calibri" w:hAnsi="Calibri" w:cs="Arial"/>
                <w:b/>
                <w:color w:val="FFFFFF"/>
                <w:sz w:val="22"/>
                <w:szCs w:val="22"/>
              </w:rPr>
              <w:t>Corporate Move</w:t>
            </w:r>
          </w:p>
        </w:tc>
        <w:tc>
          <w:tcPr>
            <w:tcW w:w="935" w:type="pct"/>
            <w:tcBorders>
              <w:top w:val="nil"/>
              <w:left w:val="nil"/>
              <w:bottom w:val="single" w:sz="4" w:space="0" w:color="auto"/>
              <w:right w:val="dotted" w:sz="4" w:space="0" w:color="BFBFBF"/>
            </w:tcBorders>
            <w:shd w:val="clear" w:color="auto" w:fill="7F7F7F"/>
            <w:noWrap/>
            <w:vAlign w:val="center"/>
          </w:tcPr>
          <w:p w:rsidR="007D78F8" w:rsidRPr="00925B0D" w:rsidRDefault="007D78F8" w:rsidP="00F8386F">
            <w:pPr>
              <w:jc w:val="center"/>
              <w:rPr>
                <w:rFonts w:ascii="Calibri" w:eastAsia="Arial Unicode MS" w:hAnsi="Calibri" w:cs="Arial"/>
                <w:color w:val="FFFFFF"/>
                <w:sz w:val="22"/>
                <w:szCs w:val="22"/>
                <w:highlight w:val="lightGray"/>
              </w:rPr>
            </w:pPr>
            <w:r w:rsidRPr="00925B0D">
              <w:rPr>
                <w:rFonts w:ascii="Calibri" w:hAnsi="Calibri" w:cs="Arial"/>
                <w:b/>
                <w:color w:val="FFFFFF"/>
                <w:sz w:val="22"/>
                <w:szCs w:val="22"/>
              </w:rPr>
              <w:t>Date</w:t>
            </w:r>
          </w:p>
        </w:tc>
      </w:tr>
      <w:tr w:rsidR="007D78F8" w:rsidRPr="00925B0D" w:rsidTr="00F8386F">
        <w:trPr>
          <w:trHeight w:val="20"/>
        </w:trPr>
        <w:tc>
          <w:tcPr>
            <w:tcW w:w="4065" w:type="pct"/>
            <w:tcBorders>
              <w:top w:val="single" w:sz="4" w:space="0" w:color="auto"/>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lang w:val="en-US"/>
              </w:rPr>
              <w:t xml:space="preserve">Approval of the Information memorandum by the Board of Directors of the </w:t>
            </w:r>
            <w:r w:rsidRPr="00925B0D">
              <w:rPr>
                <w:rStyle w:val="tlid-translationtranslation"/>
                <w:rFonts w:ascii="Calibri" w:hAnsi="Calibri"/>
                <w:sz w:val="22"/>
                <w:szCs w:val="22"/>
              </w:rPr>
              <w:t>Capital Market Commission</w:t>
            </w:r>
          </w:p>
        </w:tc>
        <w:tc>
          <w:tcPr>
            <w:tcW w:w="935" w:type="pct"/>
            <w:tcBorders>
              <w:top w:val="single" w:sz="4" w:space="0" w:color="auto"/>
              <w:left w:val="nil"/>
              <w:bottom w:val="dotted" w:sz="4" w:space="0" w:color="BFBFBF"/>
              <w:right w:val="dotted" w:sz="4" w:space="0" w:color="BFBFBF"/>
            </w:tcBorders>
            <w:noWrap/>
          </w:tcPr>
          <w:p w:rsidR="007D78F8" w:rsidRPr="00925B0D" w:rsidRDefault="007D78F8" w:rsidP="00F8386F">
            <w:pPr>
              <w:jc w:val="center"/>
              <w:rPr>
                <w:rFonts w:ascii="Calibri" w:hAnsi="Calibri"/>
                <w:b/>
                <w:bCs/>
                <w:color w:val="000000"/>
                <w:sz w:val="22"/>
                <w:szCs w:val="22"/>
              </w:rPr>
            </w:pPr>
            <w:r w:rsidRPr="00925B0D">
              <w:rPr>
                <w:rFonts w:ascii="Calibri" w:hAnsi="Calibri" w:cs="Arial"/>
                <w:bCs/>
                <w:sz w:val="22"/>
                <w:szCs w:val="22"/>
                <w:lang w:val="en-US"/>
              </w:rPr>
              <w:t>20</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b/>
                <w:bCs/>
                <w:color w:val="000000"/>
                <w:sz w:val="22"/>
                <w:szCs w:val="22"/>
              </w:rPr>
            </w:pPr>
            <w:r w:rsidRPr="00925B0D">
              <w:rPr>
                <w:rFonts w:ascii="Calibri" w:hAnsi="Calibri" w:cs="Arial"/>
                <w:bCs/>
                <w:sz w:val="22"/>
                <w:szCs w:val="22"/>
                <w:lang w:val="en-US"/>
              </w:rPr>
              <w:t>Approval by the Athens Bourse of listing of rights for trading</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b/>
                <w:bCs/>
                <w:color w:val="000000"/>
                <w:sz w:val="22"/>
                <w:szCs w:val="22"/>
              </w:rPr>
            </w:pPr>
            <w:r w:rsidRPr="00925B0D">
              <w:rPr>
                <w:rFonts w:ascii="Calibri" w:hAnsi="Calibri" w:cs="Arial"/>
                <w:bCs/>
                <w:sz w:val="22"/>
                <w:szCs w:val="22"/>
                <w:lang w:val="en-US"/>
              </w:rPr>
              <w:t>20</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rPr>
              <w:t xml:space="preserve">Entry to </w:t>
            </w:r>
            <w:r w:rsidRPr="00925B0D">
              <w:rPr>
                <w:rFonts w:ascii="Calibri" w:hAnsi="Calibri" w:cs="Arial"/>
                <w:bCs/>
                <w:sz w:val="22"/>
                <w:szCs w:val="22"/>
                <w:lang w:val="en-US"/>
              </w:rPr>
              <w:t>the</w:t>
            </w:r>
            <w:r w:rsidRPr="00925B0D">
              <w:rPr>
                <w:rFonts w:ascii="Calibri" w:hAnsi="Calibri" w:cs="Arial"/>
                <w:bCs/>
                <w:sz w:val="22"/>
                <w:szCs w:val="22"/>
              </w:rPr>
              <w:t xml:space="preserve"> </w:t>
            </w: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gazette</w:t>
            </w:r>
            <w:r w:rsidRPr="00925B0D">
              <w:rPr>
                <w:rFonts w:ascii="Calibri" w:hAnsi="Calibri" w:cs="Arial"/>
                <w:bCs/>
                <w:sz w:val="22"/>
                <w:szCs w:val="22"/>
              </w:rPr>
              <w:t xml:space="preserve"> </w:t>
            </w:r>
            <w:r w:rsidRPr="00925B0D">
              <w:rPr>
                <w:rFonts w:ascii="Calibri" w:hAnsi="Calibri" w:cs="Arial"/>
                <w:bCs/>
                <w:sz w:val="22"/>
                <w:szCs w:val="22"/>
                <w:lang w:val="en-US"/>
              </w:rPr>
              <w:t>of the announcement on the ex-rights date and the period of exercise and trading of rights</w:t>
            </w:r>
            <w:r w:rsidRPr="00925B0D">
              <w:rPr>
                <w:rFonts w:ascii="Calibri" w:hAnsi="Calibri" w:cs="Arial"/>
                <w:bCs/>
                <w:sz w:val="22"/>
                <w:szCs w:val="22"/>
              </w:rPr>
              <w:t xml:space="preserve"> </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lang w:val="en-US"/>
              </w:rPr>
              <w:t>20</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rPr>
              <w:t xml:space="preserve">Entry to </w:t>
            </w:r>
            <w:r w:rsidRPr="00925B0D">
              <w:rPr>
                <w:rFonts w:ascii="Calibri" w:hAnsi="Calibri" w:cs="Arial"/>
                <w:bCs/>
                <w:sz w:val="22"/>
                <w:szCs w:val="22"/>
                <w:lang w:val="en-US"/>
              </w:rPr>
              <w:t>the</w:t>
            </w:r>
            <w:r w:rsidRPr="00925B0D">
              <w:rPr>
                <w:rFonts w:ascii="Calibri" w:hAnsi="Calibri" w:cs="Arial"/>
                <w:bCs/>
                <w:sz w:val="22"/>
                <w:szCs w:val="22"/>
              </w:rPr>
              <w:t xml:space="preserve"> </w:t>
            </w: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gazette</w:t>
            </w:r>
            <w:r w:rsidRPr="00925B0D">
              <w:rPr>
                <w:rFonts w:ascii="Calibri" w:hAnsi="Calibri" w:cs="Arial"/>
                <w:bCs/>
                <w:sz w:val="22"/>
                <w:szCs w:val="22"/>
              </w:rPr>
              <w:t xml:space="preserve"> and the Company website of the announcement regarding the publication of the Information Memorandum </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n-US"/>
              </w:rPr>
              <w:t>1</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lang w:val="en-US"/>
              </w:rPr>
              <w:t>Publication</w:t>
            </w:r>
            <w:r w:rsidRPr="00925B0D">
              <w:rPr>
                <w:rFonts w:ascii="Calibri" w:hAnsi="Calibri" w:cs="Arial"/>
                <w:bCs/>
                <w:sz w:val="22"/>
                <w:szCs w:val="22"/>
              </w:rPr>
              <w:t xml:space="preserve"> </w:t>
            </w:r>
            <w:r w:rsidRPr="00925B0D">
              <w:rPr>
                <w:rFonts w:ascii="Calibri" w:hAnsi="Calibri" w:cs="Arial"/>
                <w:bCs/>
                <w:sz w:val="22"/>
                <w:szCs w:val="22"/>
                <w:lang w:val="en-US"/>
              </w:rPr>
              <w:t>of</w:t>
            </w:r>
            <w:r w:rsidRPr="00925B0D">
              <w:rPr>
                <w:rFonts w:ascii="Calibri" w:hAnsi="Calibri" w:cs="Arial"/>
                <w:bCs/>
                <w:sz w:val="22"/>
                <w:szCs w:val="22"/>
              </w:rPr>
              <w:t xml:space="preserve"> </w:t>
            </w:r>
            <w:r w:rsidRPr="00925B0D">
              <w:rPr>
                <w:rFonts w:ascii="Calibri" w:hAnsi="Calibri" w:cs="Arial"/>
                <w:bCs/>
                <w:sz w:val="22"/>
                <w:szCs w:val="22"/>
                <w:lang w:val="en-US"/>
              </w:rPr>
              <w:t>Information</w:t>
            </w:r>
            <w:r w:rsidRPr="00925B0D">
              <w:rPr>
                <w:rFonts w:ascii="Calibri" w:hAnsi="Calibri" w:cs="Arial"/>
                <w:bCs/>
                <w:sz w:val="22"/>
                <w:szCs w:val="22"/>
              </w:rPr>
              <w:t xml:space="preserve"> </w:t>
            </w:r>
            <w:r w:rsidRPr="00925B0D">
              <w:rPr>
                <w:rFonts w:ascii="Calibri" w:hAnsi="Calibri" w:cs="Arial"/>
                <w:bCs/>
                <w:sz w:val="22"/>
                <w:szCs w:val="22"/>
                <w:lang w:val="en-US"/>
              </w:rPr>
              <w:t>memorandum</w:t>
            </w:r>
            <w:r w:rsidRPr="00925B0D">
              <w:rPr>
                <w:rFonts w:ascii="Calibri" w:hAnsi="Calibri" w:cs="Arial"/>
                <w:bCs/>
                <w:sz w:val="22"/>
                <w:szCs w:val="22"/>
              </w:rPr>
              <w:t xml:space="preserve"> (</w:t>
            </w:r>
            <w:r w:rsidRPr="00925B0D">
              <w:rPr>
                <w:rFonts w:ascii="Calibri" w:hAnsi="Calibri" w:cs="Arial"/>
                <w:bCs/>
                <w:sz w:val="22"/>
                <w:szCs w:val="22"/>
                <w:lang w:val="en-US"/>
              </w:rPr>
              <w:t xml:space="preserve">upload to the websites of the Company, the </w:t>
            </w:r>
            <w:r w:rsidRPr="00925B0D">
              <w:rPr>
                <w:rFonts w:ascii="Calibri" w:hAnsi="Calibri" w:cs="Arial"/>
                <w:bCs/>
                <w:sz w:val="22"/>
                <w:szCs w:val="22"/>
              </w:rPr>
              <w:t xml:space="preserve"> </w:t>
            </w:r>
            <w:r w:rsidRPr="00925B0D">
              <w:rPr>
                <w:rStyle w:val="tlid-translationtranslation"/>
                <w:rFonts w:ascii="Calibri" w:hAnsi="Calibri"/>
                <w:sz w:val="22"/>
                <w:szCs w:val="22"/>
              </w:rPr>
              <w:t>Capital Market Commission</w:t>
            </w:r>
            <w:r w:rsidRPr="00925B0D">
              <w:rPr>
                <w:rFonts w:ascii="Calibri" w:hAnsi="Calibri" w:cs="Arial"/>
                <w:bCs/>
                <w:sz w:val="22"/>
                <w:szCs w:val="22"/>
              </w:rPr>
              <w:t xml:space="preserve"> and the Athens Bourse</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n-US"/>
              </w:rPr>
              <w:t>1</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lang w:val="en-US"/>
              </w:rPr>
              <w:t>Shares start trading ex-rights – adjustment of share price</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n-US"/>
              </w:rPr>
              <w:t>2</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b/>
                <w:bCs/>
                <w:color w:val="000000"/>
                <w:sz w:val="22"/>
                <w:szCs w:val="22"/>
                <w:lang w:val="en-US"/>
              </w:rPr>
            </w:pPr>
            <w:r w:rsidRPr="00925B0D">
              <w:rPr>
                <w:rFonts w:ascii="Calibri" w:hAnsi="Calibri" w:cs="Arial"/>
                <w:bCs/>
                <w:sz w:val="22"/>
                <w:szCs w:val="22"/>
              </w:rPr>
              <w:t>Record date</w:t>
            </w:r>
            <w:r w:rsidRPr="00925B0D">
              <w:rPr>
                <w:rFonts w:ascii="Calibri" w:hAnsi="Calibri" w:cs="Arial"/>
                <w:bCs/>
                <w:sz w:val="22"/>
                <w:szCs w:val="22"/>
                <w:lang w:val="en-US"/>
              </w:rPr>
              <w:t xml:space="preserve"> for shareholders eligible for the rights issue</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n-US"/>
              </w:rPr>
              <w:t>3</w:t>
            </w:r>
            <w:r w:rsidRPr="00925B0D">
              <w:rPr>
                <w:rFonts w:ascii="Calibri" w:hAnsi="Calibri" w:cs="Arial"/>
                <w:bCs/>
                <w:sz w:val="22"/>
                <w:szCs w:val="22"/>
              </w:rPr>
              <w:t>/01/2020</w:t>
            </w:r>
          </w:p>
        </w:tc>
      </w:tr>
      <w:tr w:rsidR="007D78F8" w:rsidRPr="00925B0D"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credits</w:t>
            </w:r>
            <w:r w:rsidRPr="00925B0D">
              <w:rPr>
                <w:rFonts w:ascii="Calibri" w:hAnsi="Calibri" w:cs="Arial"/>
                <w:bCs/>
                <w:sz w:val="22"/>
                <w:szCs w:val="22"/>
              </w:rPr>
              <w:t xml:space="preserve"> </w:t>
            </w:r>
            <w:r w:rsidRPr="00925B0D">
              <w:rPr>
                <w:rFonts w:ascii="Calibri" w:hAnsi="Calibri" w:cs="Arial"/>
                <w:bCs/>
                <w:sz w:val="22"/>
                <w:szCs w:val="22"/>
                <w:lang w:val="en-US"/>
              </w:rPr>
              <w:t>investor</w:t>
            </w:r>
            <w:r w:rsidRPr="00925B0D">
              <w:rPr>
                <w:rFonts w:ascii="Calibri" w:hAnsi="Calibri" w:cs="Arial"/>
                <w:bCs/>
                <w:sz w:val="22"/>
                <w:szCs w:val="22"/>
              </w:rPr>
              <w:t xml:space="preserve"> </w:t>
            </w:r>
            <w:r w:rsidRPr="00925B0D">
              <w:rPr>
                <w:rFonts w:ascii="Calibri" w:hAnsi="Calibri" w:cs="Arial"/>
                <w:bCs/>
                <w:sz w:val="22"/>
                <w:szCs w:val="22"/>
                <w:lang w:val="en-US"/>
              </w:rPr>
              <w:t>accounts</w:t>
            </w:r>
            <w:r w:rsidRPr="00925B0D">
              <w:rPr>
                <w:rFonts w:ascii="Calibri" w:hAnsi="Calibri" w:cs="Arial"/>
                <w:bCs/>
                <w:sz w:val="22"/>
                <w:szCs w:val="22"/>
              </w:rPr>
              <w:t xml:space="preserve"> </w:t>
            </w:r>
            <w:r w:rsidRPr="00925B0D">
              <w:rPr>
                <w:rFonts w:ascii="Calibri" w:hAnsi="Calibri" w:cs="Arial"/>
                <w:bCs/>
                <w:sz w:val="22"/>
                <w:szCs w:val="22"/>
                <w:lang w:val="en-US"/>
              </w:rPr>
              <w:t>with rights</w:t>
            </w:r>
          </w:p>
        </w:tc>
        <w:tc>
          <w:tcPr>
            <w:tcW w:w="935" w:type="pct"/>
            <w:tcBorders>
              <w:top w:val="nil"/>
              <w:left w:val="nil"/>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l-GR"/>
              </w:rPr>
              <w:t>4</w:t>
            </w:r>
            <w:r w:rsidRPr="00925B0D">
              <w:rPr>
                <w:rFonts w:ascii="Calibri" w:hAnsi="Calibri" w:cs="Arial"/>
                <w:bCs/>
                <w:sz w:val="22"/>
                <w:szCs w:val="22"/>
              </w:rPr>
              <w:t>/01/2020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olor w:val="000000"/>
                <w:sz w:val="22"/>
                <w:szCs w:val="22"/>
              </w:rPr>
            </w:pPr>
            <w:r w:rsidRPr="00925B0D">
              <w:rPr>
                <w:rFonts w:ascii="Calibri" w:hAnsi="Calibri" w:cs="Arial"/>
                <w:bCs/>
                <w:sz w:val="22"/>
                <w:szCs w:val="22"/>
                <w:lang w:val="en-US"/>
              </w:rPr>
              <w:t>Start of trading and exercise of rights</w:t>
            </w:r>
            <w:r w:rsidRPr="00925B0D">
              <w:rPr>
                <w:rFonts w:ascii="Calibri" w:hAnsi="Calibri" w:cs="Arial"/>
                <w:bCs/>
                <w:sz w:val="22"/>
                <w:szCs w:val="22"/>
              </w:rPr>
              <w:t xml:space="preserve"> </w:t>
            </w:r>
          </w:p>
        </w:tc>
        <w:tc>
          <w:tcPr>
            <w:tcW w:w="935" w:type="pct"/>
            <w:tcBorders>
              <w:top w:val="dotted" w:sz="4" w:space="0" w:color="BFBFBF"/>
              <w:left w:val="dotted" w:sz="4" w:space="0" w:color="BFBFBF"/>
              <w:bottom w:val="dotted" w:sz="4" w:space="0" w:color="BFBFBF"/>
              <w:right w:val="dotted" w:sz="4" w:space="0" w:color="BFBFBF"/>
            </w:tcBorders>
            <w:noWrap/>
          </w:tcPr>
          <w:p w:rsidR="007D78F8" w:rsidRPr="00925B0D" w:rsidRDefault="007D78F8" w:rsidP="00F8386F">
            <w:pPr>
              <w:jc w:val="center"/>
              <w:rPr>
                <w:rFonts w:ascii="Calibri" w:hAnsi="Calibri"/>
                <w:color w:val="000000"/>
                <w:sz w:val="22"/>
                <w:szCs w:val="22"/>
              </w:rPr>
            </w:pPr>
            <w:r w:rsidRPr="00925B0D">
              <w:rPr>
                <w:rFonts w:ascii="Calibri" w:hAnsi="Calibri" w:cs="Arial"/>
                <w:bCs/>
                <w:sz w:val="22"/>
                <w:szCs w:val="22"/>
              </w:rPr>
              <w:t>2</w:t>
            </w:r>
            <w:r w:rsidRPr="00925B0D">
              <w:rPr>
                <w:rFonts w:ascii="Calibri" w:hAnsi="Calibri" w:cs="Arial"/>
                <w:bCs/>
                <w:sz w:val="22"/>
                <w:szCs w:val="22"/>
                <w:lang w:val="en-US"/>
              </w:rPr>
              <w:t>7</w:t>
            </w:r>
            <w:r w:rsidRPr="00925B0D">
              <w:rPr>
                <w:rFonts w:ascii="Calibri" w:hAnsi="Calibri" w:cs="Arial"/>
                <w:bCs/>
                <w:sz w:val="22"/>
                <w:szCs w:val="22"/>
              </w:rPr>
              <w:t>/01/2020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s="Arial"/>
                <w:sz w:val="22"/>
                <w:szCs w:val="22"/>
              </w:rPr>
            </w:pPr>
            <w:r w:rsidRPr="00925B0D">
              <w:rPr>
                <w:rFonts w:ascii="Calibri" w:hAnsi="Calibri" w:cs="Arial"/>
                <w:bCs/>
                <w:sz w:val="22"/>
                <w:szCs w:val="22"/>
              </w:rPr>
              <w:t>End of trading of rights</w:t>
            </w:r>
          </w:p>
        </w:tc>
        <w:tc>
          <w:tcPr>
            <w:tcW w:w="935" w:type="pct"/>
            <w:tcBorders>
              <w:top w:val="dotted" w:sz="4" w:space="0" w:color="BFBFBF"/>
              <w:left w:val="dotted" w:sz="4" w:space="0" w:color="BFBFBF"/>
              <w:bottom w:val="dotted" w:sz="4" w:space="0" w:color="BFBFBF"/>
              <w:right w:val="dotted" w:sz="4" w:space="0" w:color="BFBFBF"/>
            </w:tcBorders>
            <w:noWrap/>
          </w:tcPr>
          <w:p w:rsidR="007D78F8" w:rsidRPr="00925B0D" w:rsidRDefault="007D78F8" w:rsidP="00F8386F">
            <w:pPr>
              <w:jc w:val="center"/>
              <w:rPr>
                <w:rFonts w:ascii="Calibri" w:eastAsia="Arial Unicode MS" w:hAnsi="Calibri" w:cs="Arial"/>
                <w:sz w:val="22"/>
                <w:szCs w:val="22"/>
              </w:rPr>
            </w:pPr>
            <w:r w:rsidRPr="00925B0D">
              <w:rPr>
                <w:rFonts w:ascii="Calibri" w:hAnsi="Calibri" w:cs="Arial"/>
                <w:bCs/>
                <w:sz w:val="22"/>
                <w:szCs w:val="22"/>
                <w:lang w:val="en-US"/>
              </w:rPr>
              <w:t>05</w:t>
            </w:r>
            <w:r w:rsidRPr="00925B0D">
              <w:rPr>
                <w:rFonts w:ascii="Calibri" w:hAnsi="Calibri" w:cs="Arial"/>
                <w:bCs/>
                <w:sz w:val="22"/>
                <w:szCs w:val="22"/>
              </w:rPr>
              <w:t>/02/2020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s="Arial"/>
                <w:sz w:val="22"/>
                <w:szCs w:val="22"/>
              </w:rPr>
            </w:pPr>
            <w:r w:rsidRPr="00925B0D">
              <w:rPr>
                <w:rFonts w:ascii="Calibri" w:hAnsi="Calibri" w:cs="Arial"/>
                <w:bCs/>
                <w:sz w:val="22"/>
                <w:szCs w:val="22"/>
                <w:lang w:val="en-US"/>
              </w:rPr>
              <w:t>End of exercise of rights</w:t>
            </w:r>
            <w:r w:rsidRPr="00925B0D">
              <w:rPr>
                <w:rFonts w:ascii="Calibri" w:hAnsi="Calibri" w:cs="Arial"/>
                <w:bCs/>
                <w:sz w:val="22"/>
                <w:szCs w:val="22"/>
              </w:rPr>
              <w:t xml:space="preserve"> </w:t>
            </w:r>
          </w:p>
        </w:tc>
        <w:tc>
          <w:tcPr>
            <w:tcW w:w="935" w:type="pct"/>
            <w:tcBorders>
              <w:top w:val="dotted" w:sz="4" w:space="0" w:color="BFBFBF"/>
              <w:left w:val="dotted" w:sz="4" w:space="0" w:color="BFBFBF"/>
              <w:bottom w:val="dotted" w:sz="4" w:space="0" w:color="BFBFBF"/>
              <w:right w:val="dotted" w:sz="4" w:space="0" w:color="BFBFBF"/>
            </w:tcBorders>
            <w:noWrap/>
          </w:tcPr>
          <w:p w:rsidR="007D78F8" w:rsidRPr="00925B0D" w:rsidRDefault="007D78F8" w:rsidP="00F8386F">
            <w:pPr>
              <w:jc w:val="center"/>
              <w:rPr>
                <w:rFonts w:ascii="Calibri" w:eastAsia="Arial Unicode MS" w:hAnsi="Calibri" w:cs="Arial"/>
                <w:sz w:val="22"/>
                <w:szCs w:val="22"/>
              </w:rPr>
            </w:pPr>
            <w:r w:rsidRPr="00925B0D">
              <w:rPr>
                <w:rFonts w:ascii="Calibri" w:hAnsi="Calibri" w:cs="Arial"/>
                <w:bCs/>
                <w:sz w:val="22"/>
                <w:szCs w:val="22"/>
                <w:lang w:val="en-US"/>
              </w:rPr>
              <w:t>10</w:t>
            </w:r>
            <w:r w:rsidRPr="00925B0D">
              <w:rPr>
                <w:rFonts w:ascii="Calibri" w:hAnsi="Calibri" w:cs="Arial"/>
                <w:bCs/>
                <w:sz w:val="22"/>
                <w:szCs w:val="22"/>
              </w:rPr>
              <w:t>/02/2020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s="Arial"/>
                <w:sz w:val="22"/>
                <w:szCs w:val="22"/>
              </w:rPr>
            </w:pPr>
            <w:r w:rsidRPr="00925B0D">
              <w:rPr>
                <w:rFonts w:ascii="Calibri" w:hAnsi="Calibri" w:cs="Arial"/>
                <w:bCs/>
                <w:sz w:val="22"/>
                <w:szCs w:val="22"/>
              </w:rPr>
              <w:t xml:space="preserve">Entry to </w:t>
            </w:r>
            <w:r w:rsidRPr="00925B0D">
              <w:rPr>
                <w:rFonts w:ascii="Calibri" w:hAnsi="Calibri" w:cs="Arial"/>
                <w:bCs/>
                <w:sz w:val="22"/>
                <w:szCs w:val="22"/>
                <w:lang w:val="en-US"/>
              </w:rPr>
              <w:t>the</w:t>
            </w:r>
            <w:r w:rsidRPr="00925B0D">
              <w:rPr>
                <w:rFonts w:ascii="Calibri" w:hAnsi="Calibri" w:cs="Arial"/>
                <w:bCs/>
                <w:sz w:val="22"/>
                <w:szCs w:val="22"/>
              </w:rPr>
              <w:t xml:space="preserve"> </w:t>
            </w: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gazette</w:t>
            </w:r>
            <w:r w:rsidRPr="00925B0D">
              <w:rPr>
                <w:rFonts w:ascii="Calibri" w:hAnsi="Calibri" w:cs="Arial"/>
                <w:bCs/>
                <w:sz w:val="22"/>
                <w:szCs w:val="22"/>
              </w:rPr>
              <w:t xml:space="preserve">, </w:t>
            </w:r>
            <w:r w:rsidRPr="00925B0D">
              <w:rPr>
                <w:rFonts w:ascii="Calibri" w:hAnsi="Calibri" w:cs="Arial"/>
                <w:bCs/>
                <w:sz w:val="22"/>
                <w:szCs w:val="22"/>
                <w:lang w:val="en-US"/>
              </w:rPr>
              <w:t>the</w:t>
            </w:r>
            <w:r w:rsidRPr="00925B0D">
              <w:rPr>
                <w:rFonts w:ascii="Calibri" w:hAnsi="Calibri" w:cs="Arial"/>
                <w:bCs/>
                <w:sz w:val="22"/>
                <w:szCs w:val="22"/>
              </w:rPr>
              <w:t xml:space="preserve"> </w:t>
            </w: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website</w:t>
            </w:r>
            <w:r w:rsidRPr="00925B0D">
              <w:rPr>
                <w:rFonts w:ascii="Calibri" w:hAnsi="Calibri" w:cs="Arial"/>
                <w:bCs/>
                <w:sz w:val="22"/>
                <w:szCs w:val="22"/>
              </w:rPr>
              <w:t xml:space="preserve"> </w:t>
            </w:r>
            <w:r w:rsidRPr="00925B0D">
              <w:rPr>
                <w:rFonts w:ascii="Calibri" w:hAnsi="Calibri" w:cs="Arial"/>
                <w:bCs/>
                <w:sz w:val="22"/>
                <w:szCs w:val="22"/>
                <w:lang w:val="en-US"/>
              </w:rPr>
              <w:t>and</w:t>
            </w:r>
            <w:r w:rsidRPr="00925B0D">
              <w:rPr>
                <w:rFonts w:ascii="Calibri" w:hAnsi="Calibri" w:cs="Arial"/>
                <w:bCs/>
                <w:sz w:val="22"/>
                <w:szCs w:val="22"/>
              </w:rPr>
              <w:t xml:space="preserve"> the Company website </w:t>
            </w:r>
            <w:r w:rsidRPr="00925B0D">
              <w:rPr>
                <w:rFonts w:ascii="Calibri" w:hAnsi="Calibri" w:cs="Arial"/>
                <w:bCs/>
                <w:sz w:val="22"/>
                <w:szCs w:val="22"/>
                <w:lang w:val="en-US"/>
              </w:rPr>
              <w:t xml:space="preserve"> of the subscription rate for the rights issue</w:t>
            </w:r>
          </w:p>
        </w:tc>
        <w:tc>
          <w:tcPr>
            <w:tcW w:w="935" w:type="pct"/>
            <w:tcBorders>
              <w:top w:val="dotted" w:sz="4" w:space="0" w:color="BFBFBF"/>
              <w:left w:val="dotted" w:sz="4" w:space="0" w:color="BFBFBF"/>
              <w:bottom w:val="dotted" w:sz="4" w:space="0" w:color="BFBFBF"/>
              <w:right w:val="dotted" w:sz="4" w:space="0" w:color="BFBFBF"/>
            </w:tcBorders>
            <w:noWrap/>
          </w:tcPr>
          <w:p w:rsidR="007D78F8" w:rsidRPr="00925B0D" w:rsidRDefault="007D78F8" w:rsidP="00F8386F">
            <w:pPr>
              <w:jc w:val="center"/>
              <w:rPr>
                <w:rFonts w:ascii="Calibri" w:eastAsia="Arial Unicode MS" w:hAnsi="Calibri" w:cs="Arial"/>
                <w:sz w:val="22"/>
                <w:szCs w:val="22"/>
              </w:rPr>
            </w:pPr>
            <w:r w:rsidRPr="00925B0D">
              <w:rPr>
                <w:rFonts w:ascii="Calibri" w:hAnsi="Calibri" w:cs="Arial"/>
                <w:bCs/>
                <w:sz w:val="22"/>
                <w:szCs w:val="22"/>
              </w:rPr>
              <w:t>1</w:t>
            </w:r>
            <w:r w:rsidRPr="00925B0D">
              <w:rPr>
                <w:rFonts w:ascii="Calibri" w:hAnsi="Calibri" w:cs="Arial"/>
                <w:bCs/>
                <w:sz w:val="22"/>
                <w:szCs w:val="22"/>
                <w:lang w:val="en-US"/>
              </w:rPr>
              <w:t>2</w:t>
            </w:r>
            <w:r w:rsidRPr="00925B0D">
              <w:rPr>
                <w:rFonts w:ascii="Calibri" w:hAnsi="Calibri" w:cs="Arial"/>
                <w:bCs/>
                <w:sz w:val="22"/>
                <w:szCs w:val="22"/>
              </w:rPr>
              <w:t>/02/2020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cs="Arial"/>
                <w:sz w:val="22"/>
                <w:szCs w:val="22"/>
              </w:rPr>
            </w:pPr>
            <w:r w:rsidRPr="00925B0D">
              <w:rPr>
                <w:rFonts w:ascii="Calibri" w:hAnsi="Calibri" w:cs="Arial"/>
                <w:bCs/>
                <w:sz w:val="22"/>
                <w:szCs w:val="22"/>
                <w:lang w:val="en-US"/>
              </w:rPr>
              <w:t>Approval of listing of new shares by the Athens Bourse</w:t>
            </w:r>
          </w:p>
        </w:tc>
        <w:tc>
          <w:tcPr>
            <w:tcW w:w="935" w:type="pct"/>
            <w:tcBorders>
              <w:top w:val="dotted" w:sz="4" w:space="0" w:color="BFBFBF"/>
              <w:left w:val="dotted" w:sz="4" w:space="0" w:color="BFBFBF"/>
              <w:bottom w:val="dotted" w:sz="4" w:space="0" w:color="BFBFBF"/>
              <w:right w:val="dotted" w:sz="4" w:space="0" w:color="BFBFBF"/>
            </w:tcBorders>
            <w:noWrap/>
          </w:tcPr>
          <w:p w:rsidR="007D78F8" w:rsidRPr="00925B0D" w:rsidRDefault="007D78F8" w:rsidP="00F8386F">
            <w:pPr>
              <w:jc w:val="center"/>
              <w:rPr>
                <w:rFonts w:ascii="Calibri" w:eastAsia="Arial Unicode MS" w:hAnsi="Calibri" w:cs="Arial"/>
                <w:sz w:val="22"/>
                <w:szCs w:val="22"/>
              </w:rPr>
            </w:pPr>
            <w:r w:rsidRPr="00925B0D">
              <w:rPr>
                <w:rFonts w:ascii="Calibri" w:hAnsi="Calibri" w:cs="Arial"/>
                <w:bCs/>
                <w:sz w:val="22"/>
                <w:szCs w:val="22"/>
              </w:rPr>
              <w:t>1</w:t>
            </w:r>
            <w:r w:rsidRPr="00925B0D">
              <w:rPr>
                <w:rFonts w:ascii="Calibri" w:hAnsi="Calibri" w:cs="Arial"/>
                <w:bCs/>
                <w:sz w:val="22"/>
                <w:szCs w:val="22"/>
                <w:lang w:val="en-US"/>
              </w:rPr>
              <w:t>3</w:t>
            </w:r>
            <w:r w:rsidRPr="00925B0D">
              <w:rPr>
                <w:rFonts w:ascii="Calibri" w:hAnsi="Calibri" w:cs="Arial"/>
                <w:bCs/>
                <w:sz w:val="22"/>
                <w:szCs w:val="22"/>
              </w:rPr>
              <w:t>/02/2020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sz w:val="22"/>
                <w:szCs w:val="22"/>
              </w:rPr>
            </w:pPr>
            <w:r w:rsidRPr="00925B0D">
              <w:rPr>
                <w:rFonts w:ascii="Calibri" w:hAnsi="Calibri" w:cs="Arial"/>
                <w:bCs/>
                <w:sz w:val="22"/>
                <w:szCs w:val="22"/>
              </w:rPr>
              <w:t xml:space="preserve">Entry to </w:t>
            </w:r>
            <w:r w:rsidRPr="00925B0D">
              <w:rPr>
                <w:rFonts w:ascii="Calibri" w:hAnsi="Calibri" w:cs="Arial"/>
                <w:bCs/>
                <w:sz w:val="22"/>
                <w:szCs w:val="22"/>
                <w:lang w:val="en-US"/>
              </w:rPr>
              <w:t>the</w:t>
            </w:r>
            <w:r w:rsidRPr="00925B0D">
              <w:rPr>
                <w:rFonts w:ascii="Calibri" w:hAnsi="Calibri" w:cs="Arial"/>
                <w:bCs/>
                <w:sz w:val="22"/>
                <w:szCs w:val="22"/>
              </w:rPr>
              <w:t xml:space="preserve"> </w:t>
            </w:r>
            <w:r w:rsidRPr="00925B0D">
              <w:rPr>
                <w:rFonts w:ascii="Calibri" w:hAnsi="Calibri" w:cs="Arial"/>
                <w:bCs/>
                <w:sz w:val="22"/>
                <w:szCs w:val="22"/>
                <w:lang w:val="en-US"/>
              </w:rPr>
              <w:t>Athens</w:t>
            </w:r>
            <w:r w:rsidRPr="00925B0D">
              <w:rPr>
                <w:rFonts w:ascii="Calibri" w:hAnsi="Calibri" w:cs="Arial"/>
                <w:bCs/>
                <w:sz w:val="22"/>
                <w:szCs w:val="22"/>
              </w:rPr>
              <w:t xml:space="preserve"> </w:t>
            </w:r>
            <w:r w:rsidRPr="00925B0D">
              <w:rPr>
                <w:rFonts w:ascii="Calibri" w:hAnsi="Calibri" w:cs="Arial"/>
                <w:bCs/>
                <w:sz w:val="22"/>
                <w:szCs w:val="22"/>
                <w:lang w:val="en-US"/>
              </w:rPr>
              <w:t>Bourse</w:t>
            </w:r>
            <w:r w:rsidRPr="00925B0D">
              <w:rPr>
                <w:rFonts w:ascii="Calibri" w:hAnsi="Calibri" w:cs="Arial"/>
                <w:bCs/>
                <w:sz w:val="22"/>
                <w:szCs w:val="22"/>
              </w:rPr>
              <w:t xml:space="preserve"> </w:t>
            </w:r>
            <w:r w:rsidRPr="00925B0D">
              <w:rPr>
                <w:rFonts w:ascii="Calibri" w:hAnsi="Calibri" w:cs="Arial"/>
                <w:bCs/>
                <w:sz w:val="22"/>
                <w:szCs w:val="22"/>
                <w:lang w:val="en-US"/>
              </w:rPr>
              <w:t>gazette</w:t>
            </w:r>
            <w:r w:rsidRPr="00925B0D">
              <w:rPr>
                <w:rFonts w:ascii="Calibri" w:hAnsi="Calibri" w:cs="Arial"/>
                <w:bCs/>
                <w:sz w:val="22"/>
                <w:szCs w:val="22"/>
              </w:rPr>
              <w:t xml:space="preserve"> </w:t>
            </w:r>
            <w:r w:rsidRPr="00925B0D">
              <w:rPr>
                <w:rFonts w:ascii="Calibri" w:hAnsi="Calibri" w:cs="Arial"/>
                <w:bCs/>
                <w:sz w:val="22"/>
                <w:szCs w:val="22"/>
                <w:lang w:val="en-US"/>
              </w:rPr>
              <w:t>of the announcement regarding the listing date for the new shares</w:t>
            </w:r>
          </w:p>
        </w:tc>
        <w:tc>
          <w:tcPr>
            <w:tcW w:w="935" w:type="pct"/>
            <w:tcBorders>
              <w:top w:val="dotted" w:sz="4" w:space="0" w:color="BFBFBF"/>
              <w:left w:val="dotted" w:sz="4" w:space="0" w:color="BFBFBF"/>
              <w:bottom w:val="dotted" w:sz="4" w:space="0" w:color="BFBFBF"/>
              <w:right w:val="dotted" w:sz="4" w:space="0" w:color="BFBFBF"/>
            </w:tcBorders>
            <w:noWrap/>
            <w:vAlign w:val="center"/>
          </w:tcPr>
          <w:p w:rsidR="007D78F8" w:rsidRPr="00925B0D" w:rsidRDefault="007D78F8" w:rsidP="00F8386F">
            <w:pPr>
              <w:jc w:val="center"/>
              <w:rPr>
                <w:rFonts w:ascii="Calibri" w:hAnsi="Calibri"/>
                <w:sz w:val="22"/>
                <w:szCs w:val="22"/>
              </w:rPr>
            </w:pPr>
            <w:r w:rsidRPr="00925B0D">
              <w:rPr>
                <w:rFonts w:ascii="Calibri" w:hAnsi="Calibri" w:cs="Arial"/>
                <w:bCs/>
                <w:sz w:val="22"/>
                <w:szCs w:val="22"/>
              </w:rPr>
              <w:t>1</w:t>
            </w:r>
            <w:r w:rsidRPr="00925B0D">
              <w:rPr>
                <w:rFonts w:ascii="Calibri" w:hAnsi="Calibri" w:cs="Arial"/>
                <w:bCs/>
                <w:sz w:val="22"/>
                <w:szCs w:val="22"/>
                <w:lang w:val="en-US"/>
              </w:rPr>
              <w:t>3</w:t>
            </w:r>
            <w:r w:rsidRPr="00925B0D">
              <w:rPr>
                <w:rFonts w:ascii="Calibri" w:hAnsi="Calibri" w:cs="Arial"/>
                <w:bCs/>
                <w:sz w:val="22"/>
                <w:szCs w:val="22"/>
              </w:rPr>
              <w:t>/02/2020</w:t>
            </w:r>
          </w:p>
        </w:tc>
      </w:tr>
      <w:tr w:rsidR="007D78F8" w:rsidRPr="00925B0D"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7D78F8" w:rsidRPr="00925B0D" w:rsidRDefault="007D78F8" w:rsidP="00F8386F">
            <w:pPr>
              <w:jc w:val="both"/>
              <w:rPr>
                <w:rFonts w:ascii="Calibri" w:hAnsi="Calibri"/>
                <w:sz w:val="22"/>
                <w:szCs w:val="22"/>
              </w:rPr>
            </w:pPr>
            <w:r w:rsidRPr="00925B0D">
              <w:rPr>
                <w:rFonts w:ascii="Calibri" w:hAnsi="Calibri" w:cs="Arial"/>
                <w:bCs/>
                <w:sz w:val="22"/>
                <w:szCs w:val="22"/>
                <w:lang w:val="en-US"/>
              </w:rPr>
              <w:t>Start of trading of new shares arising from the rights issue</w:t>
            </w:r>
          </w:p>
        </w:tc>
        <w:tc>
          <w:tcPr>
            <w:tcW w:w="935" w:type="pct"/>
            <w:tcBorders>
              <w:top w:val="dotted" w:sz="4" w:space="0" w:color="BFBFBF"/>
              <w:left w:val="dotted" w:sz="4" w:space="0" w:color="BFBFBF"/>
              <w:bottom w:val="dotted" w:sz="4" w:space="0" w:color="BFBFBF"/>
              <w:right w:val="dotted" w:sz="4" w:space="0" w:color="BFBFBF"/>
            </w:tcBorders>
            <w:noWrap/>
            <w:vAlign w:val="center"/>
          </w:tcPr>
          <w:p w:rsidR="007D78F8" w:rsidRPr="00925B0D" w:rsidRDefault="007D78F8" w:rsidP="00F8386F">
            <w:pPr>
              <w:jc w:val="center"/>
              <w:rPr>
                <w:rFonts w:ascii="Calibri" w:hAnsi="Calibri"/>
                <w:sz w:val="22"/>
                <w:szCs w:val="22"/>
              </w:rPr>
            </w:pPr>
            <w:r w:rsidRPr="00925B0D">
              <w:rPr>
                <w:rFonts w:ascii="Calibri" w:hAnsi="Calibri" w:cs="Arial"/>
                <w:bCs/>
                <w:sz w:val="22"/>
                <w:szCs w:val="22"/>
              </w:rPr>
              <w:t>1</w:t>
            </w:r>
            <w:r w:rsidRPr="00925B0D">
              <w:rPr>
                <w:rFonts w:ascii="Calibri" w:hAnsi="Calibri" w:cs="Arial"/>
                <w:bCs/>
                <w:sz w:val="22"/>
                <w:szCs w:val="22"/>
                <w:lang w:val="en-US"/>
              </w:rPr>
              <w:t>7</w:t>
            </w:r>
            <w:r w:rsidRPr="00925B0D">
              <w:rPr>
                <w:rFonts w:ascii="Calibri" w:hAnsi="Calibri" w:cs="Arial"/>
                <w:bCs/>
                <w:sz w:val="22"/>
                <w:szCs w:val="22"/>
              </w:rPr>
              <w:t>/02/2020</w:t>
            </w:r>
          </w:p>
        </w:tc>
      </w:tr>
    </w:tbl>
    <w:p w:rsidR="007D78F8" w:rsidRPr="00925B0D" w:rsidRDefault="007D78F8" w:rsidP="00953549">
      <w:pPr>
        <w:pStyle w:val="Alex"/>
        <w:spacing w:before="120"/>
        <w:rPr>
          <w:rFonts w:ascii="Calibri" w:hAnsi="Calibri" w:cs="Arial"/>
          <w:bCs w:val="0"/>
          <w:i/>
          <w:sz w:val="22"/>
          <w:szCs w:val="22"/>
          <w:lang w:val="en-GB"/>
        </w:rPr>
      </w:pP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Depends</w:t>
      </w: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on</w:t>
      </w: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the</w:t>
      </w: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convention</w:t>
      </w: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of</w:t>
      </w:r>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the</w:t>
      </w:r>
      <w:r w:rsidRPr="00925B0D">
        <w:rPr>
          <w:rFonts w:ascii="Calibri" w:hAnsi="Calibri" w:cs="Arial"/>
          <w:bCs w:val="0"/>
          <w:i/>
          <w:sz w:val="22"/>
          <w:szCs w:val="22"/>
          <w:lang w:val="en-GB"/>
        </w:rPr>
        <w:t xml:space="preserve"> </w:t>
      </w:r>
      <w:smartTag w:uri="urn:schemas-microsoft-com:office:smarttags" w:element="City">
        <w:smartTag w:uri="urn:schemas-microsoft-com:office:smarttags" w:element="place">
          <w:r w:rsidRPr="00925B0D">
            <w:rPr>
              <w:rFonts w:ascii="Calibri" w:hAnsi="Calibri" w:cs="Arial"/>
              <w:bCs w:val="0"/>
              <w:i/>
              <w:sz w:val="22"/>
              <w:szCs w:val="22"/>
              <w:lang w:val="en-US"/>
            </w:rPr>
            <w:t>Athens</w:t>
          </w:r>
        </w:smartTag>
      </w:smartTag>
      <w:r w:rsidRPr="00925B0D">
        <w:rPr>
          <w:rFonts w:ascii="Calibri" w:hAnsi="Calibri" w:cs="Arial"/>
          <w:bCs w:val="0"/>
          <w:i/>
          <w:sz w:val="22"/>
          <w:szCs w:val="22"/>
          <w:lang w:val="en-GB"/>
        </w:rPr>
        <w:t xml:space="preserve"> </w:t>
      </w:r>
      <w:r w:rsidRPr="00925B0D">
        <w:rPr>
          <w:rFonts w:ascii="Calibri" w:hAnsi="Calibri" w:cs="Arial"/>
          <w:bCs w:val="0"/>
          <w:i/>
          <w:sz w:val="22"/>
          <w:szCs w:val="22"/>
          <w:lang w:val="en-US"/>
        </w:rPr>
        <w:t>Bourse</w:t>
      </w:r>
      <w:r w:rsidRPr="00925B0D">
        <w:rPr>
          <w:rFonts w:ascii="Calibri" w:hAnsi="Calibri" w:cs="Arial"/>
          <w:bCs w:val="0"/>
          <w:i/>
          <w:sz w:val="22"/>
          <w:szCs w:val="22"/>
          <w:lang w:val="en-GB"/>
        </w:rPr>
        <w:t xml:space="preserve"> committees on the dates provided</w:t>
      </w:r>
    </w:p>
    <w:p w:rsidR="007D78F8" w:rsidRDefault="007D78F8" w:rsidP="00953549">
      <w:pPr>
        <w:spacing w:before="100" w:beforeAutospacing="1" w:after="240"/>
        <w:jc w:val="both"/>
        <w:rPr>
          <w:rStyle w:val="tlid-translationtranslation"/>
          <w:rFonts w:ascii="Calibri" w:hAnsi="Calibri"/>
          <w:sz w:val="22"/>
          <w:szCs w:val="22"/>
        </w:rPr>
      </w:pPr>
      <w:r w:rsidRPr="00925B0D">
        <w:rPr>
          <w:rStyle w:val="tlid-translationtranslation"/>
          <w:rFonts w:ascii="Calibri" w:hAnsi="Calibri"/>
          <w:sz w:val="22"/>
          <w:szCs w:val="22"/>
        </w:rPr>
        <w:t>It is noted that the above schedule depends on many uncertainties and may change. In any case there will be an update of the investment public with a relevant announcement from the Company.</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t>The Information Memorandum, as approved by the Board of Directors of Greece’s Capital Market Commission on 20.01.2020, will be available from 21.01.2020 in electronic form:</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br/>
        <w:t>• on the Athens Stock Exchange website (</w:t>
      </w:r>
      <w:hyperlink r:id="rId11" w:history="1">
        <w:r w:rsidRPr="00925B0D">
          <w:rPr>
            <w:rStyle w:val="Hyperlink"/>
            <w:rFonts w:ascii="Calibri" w:hAnsi="Calibri"/>
            <w:sz w:val="22"/>
            <w:szCs w:val="22"/>
          </w:rPr>
          <w:t>https://www.athexgroup.gr/en/web/guest/company-prospectus/-/select-company/142</w:t>
        </w:r>
      </w:hyperlink>
      <w:r w:rsidRPr="00925B0D">
        <w:rPr>
          <w:rStyle w:val="tlid-translationtranslation"/>
          <w:rFonts w:ascii="Calibri" w:hAnsi="Calibri"/>
          <w:sz w:val="22"/>
          <w:szCs w:val="22"/>
        </w:rPr>
        <w:t>)</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t>• the Securities and Exchange Commission (</w:t>
      </w:r>
      <w:hyperlink r:id="rId12" w:history="1">
        <w:r w:rsidRPr="00925B0D">
          <w:rPr>
            <w:rStyle w:val="Hyperlink"/>
            <w:rFonts w:ascii="Calibri" w:hAnsi="Calibri"/>
            <w:sz w:val="22"/>
            <w:szCs w:val="22"/>
          </w:rPr>
          <w:t>www.hcmc.gr/en_EN/web/portal/elib/deltia</w:t>
        </w:r>
      </w:hyperlink>
      <w:r w:rsidRPr="00925B0D">
        <w:rPr>
          <w:rStyle w:val="tlid-translationtranslation"/>
          <w:rFonts w:ascii="Calibri" w:hAnsi="Calibri"/>
          <w:sz w:val="22"/>
          <w:szCs w:val="22"/>
        </w:rPr>
        <w:t>),</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t xml:space="preserve">• the Company </w:t>
      </w:r>
      <w:hyperlink r:id="rId13" w:history="1">
        <w:r w:rsidRPr="00925B0D">
          <w:rPr>
            <w:rStyle w:val="Hyperlink"/>
            <w:rFonts w:ascii="Calibri" w:hAnsi="Calibri"/>
            <w:sz w:val="22"/>
            <w:szCs w:val="22"/>
          </w:rPr>
          <w:t>http://www.jp-avax.gr/default.aspx?pid=335&amp;CTID=203</w:t>
        </w:r>
      </w:hyperlink>
      <w:r w:rsidRPr="00925B0D">
        <w:rPr>
          <w:rStyle w:val="tlid-translationtranslation"/>
          <w:rFonts w:ascii="Calibri" w:hAnsi="Calibri"/>
          <w:sz w:val="22"/>
          <w:szCs w:val="22"/>
        </w:rPr>
        <w:t>,</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br/>
        <w:t xml:space="preserve">In addition, the </w:t>
      </w:r>
      <w:r>
        <w:rPr>
          <w:rStyle w:val="tlid-translationtranslation"/>
          <w:rFonts w:ascii="Calibri" w:hAnsi="Calibri"/>
          <w:sz w:val="22"/>
          <w:szCs w:val="22"/>
        </w:rPr>
        <w:t>Information Memorandum</w:t>
      </w:r>
      <w:r w:rsidRPr="00925B0D">
        <w:rPr>
          <w:rStyle w:val="tlid-translationtranslation"/>
          <w:rFonts w:ascii="Calibri" w:hAnsi="Calibri"/>
          <w:sz w:val="22"/>
          <w:szCs w:val="22"/>
        </w:rPr>
        <w:t xml:space="preserve">, may be issued free of charge upon request, during the </w:t>
      </w:r>
      <w:r>
        <w:rPr>
          <w:rStyle w:val="tlid-translationtranslation"/>
          <w:rFonts w:ascii="Calibri" w:hAnsi="Calibri"/>
          <w:sz w:val="22"/>
          <w:szCs w:val="22"/>
        </w:rPr>
        <w:t xml:space="preserve">period of rights </w:t>
      </w:r>
      <w:r w:rsidRPr="00925B0D">
        <w:rPr>
          <w:rStyle w:val="tlid-translationtranslation"/>
          <w:rFonts w:ascii="Calibri" w:hAnsi="Calibri"/>
          <w:sz w:val="22"/>
          <w:szCs w:val="22"/>
        </w:rPr>
        <w:t>exercise, in hard copy by the Company's offices (</w:t>
      </w:r>
      <w:smartTag w:uri="urn:schemas-microsoft-com:office:smarttags" w:element="address">
        <w:smartTag w:uri="urn:schemas-microsoft-com:office:smarttags" w:element="Street">
          <w:r w:rsidRPr="00925B0D">
            <w:rPr>
              <w:rStyle w:val="tlid-translationtranslation"/>
              <w:rFonts w:ascii="Calibri" w:hAnsi="Calibri"/>
              <w:sz w:val="22"/>
              <w:szCs w:val="22"/>
            </w:rPr>
            <w:t>16 Amarousiou-</w:t>
          </w:r>
          <w:r>
            <w:rPr>
              <w:rStyle w:val="tlid-translationtranslation"/>
              <w:rFonts w:ascii="Calibri" w:hAnsi="Calibri"/>
              <w:sz w:val="22"/>
              <w:szCs w:val="22"/>
            </w:rPr>
            <w:t>H</w:t>
          </w:r>
          <w:r w:rsidRPr="00925B0D">
            <w:rPr>
              <w:rStyle w:val="tlid-translationtranslation"/>
              <w:rFonts w:ascii="Calibri" w:hAnsi="Calibri"/>
              <w:sz w:val="22"/>
              <w:szCs w:val="22"/>
            </w:rPr>
            <w:t>alandri</w:t>
          </w:r>
          <w:r>
            <w:rPr>
              <w:rStyle w:val="tlid-translationtranslation"/>
              <w:rFonts w:ascii="Calibri" w:hAnsi="Calibri"/>
              <w:sz w:val="22"/>
              <w:szCs w:val="22"/>
            </w:rPr>
            <w:t>ou Street</w:t>
          </w:r>
        </w:smartTag>
      </w:smartTag>
      <w:r w:rsidRPr="00925B0D">
        <w:rPr>
          <w:rStyle w:val="tlid-translationtranslation"/>
          <w:rFonts w:ascii="Calibri" w:hAnsi="Calibri"/>
          <w:sz w:val="22"/>
          <w:szCs w:val="22"/>
        </w:rPr>
        <w:t>, 151 25, Marousi).</w:t>
      </w:r>
    </w:p>
    <w:p w:rsidR="007D78F8" w:rsidRPr="00925B0D" w:rsidRDefault="007D78F8" w:rsidP="00953549">
      <w:pPr>
        <w:spacing w:after="120"/>
        <w:jc w:val="both"/>
        <w:rPr>
          <w:rStyle w:val="tlid-translationtranslation"/>
          <w:rFonts w:ascii="Calibri" w:hAnsi="Calibri"/>
          <w:sz w:val="22"/>
          <w:szCs w:val="22"/>
        </w:rPr>
      </w:pPr>
      <w:r w:rsidRPr="00925B0D">
        <w:rPr>
          <w:rStyle w:val="tlid-translationtranslation"/>
          <w:rFonts w:ascii="Calibri" w:hAnsi="Calibri"/>
          <w:sz w:val="22"/>
          <w:szCs w:val="22"/>
        </w:rPr>
        <w:br/>
        <w:t>For more information</w:t>
      </w:r>
      <w:r>
        <w:rPr>
          <w:rStyle w:val="tlid-translationtranslation"/>
          <w:rFonts w:ascii="Calibri" w:hAnsi="Calibri"/>
          <w:sz w:val="22"/>
          <w:szCs w:val="22"/>
        </w:rPr>
        <w:t>,</w:t>
      </w:r>
      <w:r w:rsidRPr="00925B0D">
        <w:rPr>
          <w:rStyle w:val="tlid-translationtranslation"/>
          <w:rFonts w:ascii="Calibri" w:hAnsi="Calibri"/>
          <w:sz w:val="22"/>
          <w:szCs w:val="22"/>
        </w:rPr>
        <w:t xml:space="preserve"> shareholders may contact the Company's offices at </w:t>
      </w:r>
      <w:smartTag w:uri="urn:schemas-microsoft-com:office:smarttags" w:element="Street">
        <w:r w:rsidRPr="00925B0D">
          <w:rPr>
            <w:rStyle w:val="tlid-translationtranslation"/>
            <w:rFonts w:ascii="Calibri" w:hAnsi="Calibri"/>
            <w:sz w:val="22"/>
            <w:szCs w:val="22"/>
          </w:rPr>
          <w:t>16 Amarousiou-Halandriou Street</w:t>
        </w:r>
      </w:smartTag>
      <w:r w:rsidRPr="00925B0D">
        <w:rPr>
          <w:rStyle w:val="tlid-translationtranslation"/>
          <w:rFonts w:ascii="Calibri" w:hAnsi="Calibri"/>
          <w:sz w:val="22"/>
          <w:szCs w:val="22"/>
        </w:rPr>
        <w:t>, 151 25, Marousi (Shareholder Service, Mr. A. Kiosklis and M</w:t>
      </w:r>
      <w:r>
        <w:rPr>
          <w:rStyle w:val="tlid-translationtranslation"/>
          <w:rFonts w:ascii="Calibri" w:hAnsi="Calibri"/>
          <w:sz w:val="22"/>
          <w:szCs w:val="22"/>
        </w:rPr>
        <w:t>r</w:t>
      </w:r>
      <w:r w:rsidRPr="00925B0D">
        <w:rPr>
          <w:rStyle w:val="tlid-translationtranslation"/>
          <w:rFonts w:ascii="Calibri" w:hAnsi="Calibri"/>
          <w:sz w:val="22"/>
          <w:szCs w:val="22"/>
        </w:rPr>
        <w:t>s. E. Michailari, tel. 2106375000)</w:t>
      </w:r>
    </w:p>
    <w:p w:rsidR="007D78F8" w:rsidRPr="00925B0D" w:rsidRDefault="007D78F8" w:rsidP="00953549">
      <w:pPr>
        <w:spacing w:before="100" w:beforeAutospacing="1" w:after="240"/>
        <w:jc w:val="center"/>
        <w:rPr>
          <w:rFonts w:ascii="Calibri" w:hAnsi="Calibri" w:cs="Arial"/>
          <w:b/>
          <w:bCs/>
          <w:sz w:val="22"/>
          <w:szCs w:val="22"/>
        </w:rPr>
      </w:pPr>
      <w:r w:rsidRPr="00925B0D">
        <w:rPr>
          <w:rFonts w:ascii="Calibri" w:hAnsi="Calibri" w:cs="Arial"/>
          <w:b/>
          <w:bCs/>
          <w:sz w:val="22"/>
          <w:szCs w:val="22"/>
        </w:rPr>
        <w:t>Marousi,</w:t>
      </w:r>
      <w:r>
        <w:rPr>
          <w:rFonts w:ascii="Calibri" w:hAnsi="Calibri" w:cs="Arial"/>
          <w:b/>
          <w:bCs/>
          <w:sz w:val="22"/>
          <w:szCs w:val="22"/>
        </w:rPr>
        <w:t xml:space="preserve"> </w:t>
      </w:r>
      <w:r w:rsidRPr="00925B0D">
        <w:rPr>
          <w:rFonts w:ascii="Calibri" w:hAnsi="Calibri" w:cs="Arial"/>
          <w:b/>
          <w:bCs/>
          <w:sz w:val="22"/>
          <w:szCs w:val="22"/>
        </w:rPr>
        <w:t xml:space="preserve">January </w:t>
      </w:r>
      <w:r w:rsidRPr="00925B0D">
        <w:rPr>
          <w:rFonts w:ascii="Calibri" w:hAnsi="Calibri" w:cs="Calibri"/>
          <w:b/>
          <w:bCs/>
          <w:sz w:val="22"/>
          <w:szCs w:val="22"/>
        </w:rPr>
        <w:t xml:space="preserve">20, </w:t>
      </w:r>
      <w:r w:rsidRPr="00925B0D">
        <w:rPr>
          <w:rFonts w:ascii="Calibri" w:hAnsi="Calibri" w:cs="Arial"/>
          <w:b/>
          <w:bCs/>
          <w:sz w:val="22"/>
          <w:szCs w:val="22"/>
        </w:rPr>
        <w:t>2020</w:t>
      </w:r>
    </w:p>
    <w:p w:rsidR="007D78F8" w:rsidRPr="00246774" w:rsidRDefault="007D78F8" w:rsidP="000E0A29">
      <w:pPr>
        <w:ind w:right="283" w:firstLine="142"/>
        <w:jc w:val="center"/>
        <w:rPr>
          <w:rFonts w:ascii="Arial" w:hAnsi="Arial"/>
          <w:b/>
          <w:lang w:val="el-GR"/>
        </w:rPr>
      </w:pPr>
    </w:p>
    <w:sectPr w:rsidR="007D78F8" w:rsidRPr="00246774" w:rsidSect="005E0F42">
      <w:type w:val="continuous"/>
      <w:pgSz w:w="11906" w:h="16838" w:code="9"/>
      <w:pgMar w:top="1440" w:right="1077" w:bottom="851" w:left="1134" w:header="709" w:footer="28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F8" w:rsidRDefault="007D78F8">
      <w:r>
        <w:separator/>
      </w:r>
    </w:p>
  </w:endnote>
  <w:endnote w:type="continuationSeparator" w:id="0">
    <w:p w:rsidR="007D78F8" w:rsidRDefault="007D78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F8" w:rsidRPr="00BA3EEE" w:rsidRDefault="007D78F8" w:rsidP="009F7D5B">
    <w:pPr>
      <w:pStyle w:val="Footer"/>
      <w:jc w:val="center"/>
      <w:rPr>
        <w:rStyle w:val="PageNumber"/>
        <w:rFonts w:cs="Tahoma"/>
        <w:sz w:val="40"/>
        <w:szCs w:val="40"/>
      </w:rPr>
    </w:pPr>
  </w:p>
  <w:p w:rsidR="007D78F8" w:rsidRDefault="007D78F8" w:rsidP="009F7D5B">
    <w:pPr>
      <w:pStyle w:val="Footer"/>
      <w:jc w:val="center"/>
      <w:rPr>
        <w:rStyle w:val="PageNumber"/>
        <w:rFonts w:cs="Tahoma"/>
        <w:sz w:val="8"/>
        <w:szCs w:val="8"/>
      </w:rPr>
    </w:pPr>
  </w:p>
  <w:p w:rsidR="007D78F8" w:rsidRDefault="007D78F8" w:rsidP="009F7D5B">
    <w:pPr>
      <w:pStyle w:val="Footer"/>
      <w:jc w:val="center"/>
      <w:rPr>
        <w:rStyle w:val="PageNumber"/>
        <w:rFonts w:cs="Tahoma"/>
        <w:szCs w:val="22"/>
      </w:rPr>
    </w:pPr>
    <w:r>
      <w:rPr>
        <w:rStyle w:val="PageNumber"/>
        <w:rFonts w:cs="Tahoma"/>
        <w:szCs w:val="22"/>
      </w:rPr>
      <w:fldChar w:fldCharType="begin"/>
    </w:r>
    <w:r>
      <w:rPr>
        <w:rStyle w:val="PageNumber"/>
        <w:rFonts w:cs="Tahoma"/>
        <w:szCs w:val="22"/>
      </w:rPr>
      <w:instrText xml:space="preserve"> PAGE </w:instrText>
    </w:r>
    <w:r>
      <w:rPr>
        <w:rStyle w:val="PageNumber"/>
        <w:rFonts w:cs="Tahoma"/>
        <w:szCs w:val="22"/>
      </w:rPr>
      <w:fldChar w:fldCharType="separate"/>
    </w:r>
    <w:r>
      <w:rPr>
        <w:rStyle w:val="PageNumber"/>
        <w:rFonts w:cs="Tahoma"/>
        <w:noProof/>
        <w:szCs w:val="22"/>
      </w:rPr>
      <w:t>2</w:t>
    </w:r>
    <w:r>
      <w:rPr>
        <w:rStyle w:val="PageNumber"/>
        <w:rFonts w:cs="Tahoma"/>
        <w:szCs w:val="22"/>
      </w:rPr>
      <w:fldChar w:fldCharType="end"/>
    </w:r>
  </w:p>
  <w:p w:rsidR="007D78F8" w:rsidRDefault="007D78F8" w:rsidP="009F7D5B">
    <w:pPr>
      <w:pStyle w:val="Footer"/>
      <w:jc w:val="center"/>
      <w:rPr>
        <w:sz w:val="22"/>
        <w:szCs w:val="22"/>
        <w:lang w:val="en-US"/>
      </w:rPr>
    </w:pPr>
  </w:p>
  <w:p w:rsidR="007D78F8" w:rsidRDefault="007D78F8" w:rsidP="009F7D5B">
    <w:pPr>
      <w:pStyle w:val="Footer"/>
      <w:jc w:val="center"/>
      <w:rPr>
        <w:sz w:val="22"/>
        <w:szCs w:val="22"/>
        <w:lang w:val="en-US"/>
      </w:rPr>
    </w:pPr>
    <w:r>
      <w:rPr>
        <w:noProof/>
        <w:lang w:val="el-GR" w:eastAsia="el-GR"/>
      </w:rPr>
      <w:pict>
        <v:shapetype id="_x0000_t202" coordsize="21600,21600" o:spt="202" path="m,l,21600r21600,l21600,xe">
          <v:stroke joinstyle="miter"/>
          <v:path gradientshapeok="t" o:connecttype="rect"/>
        </v:shapetype>
        <v:shape id="_x0000_s2049" type="#_x0000_t202" style="position:absolute;left:0;text-align:left;margin-left:-63pt;margin-top:7.95pt;width:602.95pt;height:201.85pt;z-index:251661824" fillcolor="silver" strokecolor="silver" strokeweight="2.25pt">
          <v:textbox style="mso-next-textbox:#_x0000_s2049" inset=",65mm,,7.3mm">
            <w:txbxContent>
              <w:p w:rsidR="007D78F8" w:rsidRPr="00A6329D" w:rsidRDefault="007D78F8" w:rsidP="00122D8B"/>
            </w:txbxContent>
          </v:textbox>
        </v:shape>
      </w:pict>
    </w:r>
  </w:p>
  <w:p w:rsidR="007D78F8" w:rsidRDefault="007D78F8" w:rsidP="00122D8B">
    <w:pPr>
      <w:pStyle w:val="Footer"/>
      <w:tabs>
        <w:tab w:val="left" w:pos="720"/>
      </w:tabs>
      <w:spacing w:after="120"/>
      <w:ind w:left="-720" w:right="-873"/>
      <w:jc w:val="center"/>
      <w:rPr>
        <w:sz w:val="2"/>
        <w:szCs w:val="2"/>
        <w:lang w:val="el-GR"/>
      </w:rPr>
    </w:pPr>
    <w:r>
      <w:rPr>
        <w:noProof/>
        <w:lang w:val="el-GR" w:eastAsia="el-GR"/>
      </w:rPr>
      <w:pict>
        <v:shape id="_x0000_s2050" type="#_x0000_t202" style="position:absolute;left:0;text-align:left;margin-left:-62.8pt;margin-top:49.85pt;width:603pt;height:20.95pt;z-index:251654656" filled="f" stroked="f">
          <v:textbox style="mso-next-textbox:#_x0000_s2050">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1" type="#_x0000_t202" style="position:absolute;left:0;text-align:left;margin-left:-50.8pt;margin-top:61.85pt;width:603pt;height:20.95pt;z-index:251655680" filled="f" stroked="f">
          <v:textbox style="mso-next-textbox:#_x0000_s2051">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2" type="#_x0000_t202" style="position:absolute;left:0;text-align:left;margin-left:-38.8pt;margin-top:73.85pt;width:603pt;height:20.95pt;z-index:251656704" filled="f" stroked="f">
          <v:textbox style="mso-next-textbox:#_x0000_s2052">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3" type="#_x0000_t202" style="position:absolute;left:0;text-align:left;margin-left:-26.8pt;margin-top:85.85pt;width:603pt;height:20.95pt;z-index:251657728" filled="f" stroked="f">
          <v:textbox style="mso-next-textbox:#_x0000_s2053">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4" type="#_x0000_t202" style="position:absolute;left:0;text-align:left;margin-left:-14.8pt;margin-top:97.85pt;width:603pt;height:20.95pt;z-index:251658752" filled="f" stroked="f">
          <v:textbox style="mso-next-textbox:#_x0000_s2054">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5" type="#_x0000_t202" style="position:absolute;left:0;text-align:left;margin-left:-2.8pt;margin-top:109.85pt;width:603pt;height:20.95pt;z-index:251659776" filled="f" stroked="f">
          <v:textbox style="mso-next-textbox:#_x0000_s2055">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6" type="#_x0000_t202" style="position:absolute;left:0;text-align:left;margin-left:9.2pt;margin-top:121.85pt;width:603pt;height:20.95pt;z-index:251660800" filled="f" stroked="f">
          <v:textbox style="mso-next-textbox:#_x0000_s2056">
            <w:txbxContent>
              <w:p w:rsidR="007D78F8" w:rsidRDefault="007D78F8"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F8" w:rsidRPr="00DA56C2" w:rsidRDefault="007D78F8" w:rsidP="00E00D26">
    <w:pPr>
      <w:pStyle w:val="Footer"/>
      <w:tabs>
        <w:tab w:val="left" w:pos="720"/>
      </w:tabs>
      <w:spacing w:after="120"/>
      <w:ind w:left="-720" w:right="-873"/>
      <w:jc w:val="center"/>
      <w:rPr>
        <w:rFonts w:ascii="Tahoma" w:hAnsi="Tahoma" w:cs="Tahoma"/>
        <w:b/>
        <w:bCs/>
        <w:spacing w:val="20"/>
        <w:sz w:val="22"/>
        <w:szCs w:val="22"/>
      </w:rPr>
    </w:pPr>
  </w:p>
  <w:p w:rsidR="007D78F8" w:rsidRPr="00EE44D9" w:rsidRDefault="007D78F8" w:rsidP="00471EA2">
    <w:pPr>
      <w:pStyle w:val="Footer"/>
      <w:tabs>
        <w:tab w:val="left" w:pos="720"/>
      </w:tabs>
      <w:spacing w:after="80"/>
      <w:ind w:left="-720" w:right="-873"/>
      <w:jc w:val="center"/>
      <w:rPr>
        <w:rFonts w:ascii="Tahoma" w:hAnsi="Tahoma" w:cs="Tahoma"/>
        <w:color w:val="000099"/>
        <w:spacing w:val="14"/>
        <w:sz w:val="18"/>
        <w:szCs w:val="18"/>
        <w:lang w:val="el-GR"/>
      </w:rPr>
    </w:pPr>
    <w:r w:rsidRPr="00EE44D9">
      <w:rPr>
        <w:rFonts w:ascii="Tahoma" w:hAnsi="Tahoma" w:cs="Tahoma"/>
        <w:b/>
        <w:bCs/>
        <w:color w:val="000099"/>
        <w:spacing w:val="14"/>
        <w:sz w:val="18"/>
        <w:szCs w:val="18"/>
        <w:lang w:val="el-GR"/>
      </w:rPr>
      <w:t xml:space="preserve">ΑΒΑΞ Α.Ε. </w:t>
    </w:r>
    <w:r w:rsidRPr="00EE44D9">
      <w:rPr>
        <w:rFonts w:ascii="Tahoma" w:hAnsi="Tahoma" w:cs="Tahoma"/>
        <w:bCs/>
        <w:color w:val="000099"/>
        <w:spacing w:val="14"/>
        <w:sz w:val="18"/>
        <w:szCs w:val="18"/>
        <w:lang w:val="el-GR"/>
      </w:rPr>
      <w:t>Αμαρουσίου</w:t>
    </w:r>
    <w:r w:rsidRPr="00EE44D9">
      <w:rPr>
        <w:rFonts w:ascii="Tahoma" w:hAnsi="Tahoma" w:cs="Tahoma"/>
        <w:color w:val="000099"/>
        <w:spacing w:val="14"/>
        <w:sz w:val="18"/>
        <w:szCs w:val="18"/>
        <w:lang w:val="el-GR"/>
      </w:rPr>
      <w:t xml:space="preserve"> - Χαλανδρίου 16, 151 25 Μαρούσι, Αθήνα, Τηλ.: 210 6375000, </w:t>
    </w:r>
    <w:r w:rsidRPr="00EE44D9">
      <w:rPr>
        <w:rFonts w:ascii="Tahoma" w:hAnsi="Tahoma" w:cs="Tahoma"/>
        <w:color w:val="000099"/>
        <w:spacing w:val="14"/>
        <w:sz w:val="18"/>
        <w:szCs w:val="18"/>
      </w:rPr>
      <w:t>Fax</w:t>
    </w:r>
    <w:r w:rsidRPr="00EE44D9">
      <w:rPr>
        <w:rFonts w:ascii="Tahoma" w:hAnsi="Tahoma" w:cs="Tahoma"/>
        <w:color w:val="000099"/>
        <w:spacing w:val="14"/>
        <w:sz w:val="18"/>
        <w:szCs w:val="18"/>
        <w:lang w:val="el-GR"/>
      </w:rPr>
      <w:t>: 210 6104380,</w:t>
    </w:r>
  </w:p>
  <w:p w:rsidR="007D78F8" w:rsidRPr="00EE44D9" w:rsidRDefault="007D78F8" w:rsidP="00471EA2">
    <w:pPr>
      <w:pStyle w:val="Footer"/>
      <w:tabs>
        <w:tab w:val="left" w:pos="720"/>
      </w:tabs>
      <w:spacing w:after="80"/>
      <w:ind w:left="-720" w:right="-873"/>
      <w:jc w:val="center"/>
      <w:rPr>
        <w:color w:val="000099"/>
        <w:sz w:val="17"/>
        <w:szCs w:val="17"/>
        <w:lang w:val="el-GR"/>
      </w:rPr>
    </w:pPr>
    <w:r w:rsidRPr="00EE44D9">
      <w:rPr>
        <w:rFonts w:ascii="Tahoma" w:hAnsi="Tahoma" w:cs="Tahoma"/>
        <w:color w:val="000099"/>
        <w:sz w:val="17"/>
        <w:szCs w:val="17"/>
        <w:lang w:val="el-GR"/>
      </w:rPr>
      <w:t xml:space="preserve">Αρ. Γ.Ε.ΜΗ.  913601000  ΥΠ. ΟΙΚΟΝΟΜΙΑΣ &amp; ΑΝΑΠΤΥΞΗΣ  </w:t>
    </w:r>
    <w:r w:rsidRPr="00EE44D9">
      <w:rPr>
        <w:rFonts w:ascii="Tahoma" w:hAnsi="Tahoma" w:cs="Tahoma"/>
        <w:color w:val="000099"/>
        <w:spacing w:val="20"/>
        <w:sz w:val="17"/>
        <w:szCs w:val="17"/>
        <w:lang w:val="el-GR"/>
      </w:rPr>
      <w:t>ΑΦΜ: 094183623,</w:t>
    </w:r>
    <w:r w:rsidRPr="00EE44D9">
      <w:rPr>
        <w:rFonts w:ascii="Tahoma" w:hAnsi="Tahoma" w:cs="Tahoma"/>
        <w:color w:val="000099"/>
        <w:sz w:val="17"/>
        <w:szCs w:val="17"/>
        <w:lang w:val="el-GR"/>
      </w:rPr>
      <w:t xml:space="preserve">  ΔΟΥ ΦΑΕ ΑΘΗΝΩΝ</w:t>
    </w:r>
  </w:p>
  <w:p w:rsidR="007D78F8" w:rsidRPr="00CB66E4" w:rsidRDefault="007D78F8" w:rsidP="00471EA2">
    <w:pPr>
      <w:pStyle w:val="Footer"/>
      <w:tabs>
        <w:tab w:val="left" w:pos="720"/>
      </w:tabs>
      <w:spacing w:after="80"/>
      <w:ind w:left="-720" w:right="-878"/>
      <w:jc w:val="right"/>
      <w:rPr>
        <w:rFonts w:ascii="Arial" w:hAnsi="Arial" w:cs="Arial"/>
        <w:b/>
        <w:bCs/>
        <w:spacing w:val="12"/>
        <w:position w:val="-2"/>
        <w:sz w:val="8"/>
        <w:szCs w:val="8"/>
        <w:lang w:val="el-GR"/>
      </w:rPr>
    </w:pPr>
  </w:p>
  <w:p w:rsidR="007D78F8" w:rsidRPr="00E00D26" w:rsidRDefault="007D78F8" w:rsidP="00471EA2">
    <w:pPr>
      <w:pStyle w:val="Footer"/>
      <w:tabs>
        <w:tab w:val="left" w:pos="720"/>
      </w:tabs>
      <w:spacing w:after="80"/>
      <w:ind w:left="-720" w:right="-878"/>
      <w:jc w:val="right"/>
      <w:rPr>
        <w:rFonts w:ascii="Arial" w:hAnsi="Arial" w:cs="Arial"/>
        <w:b/>
        <w:bCs/>
        <w:spacing w:val="12"/>
        <w:position w:val="-2"/>
        <w:sz w:val="16"/>
        <w:szCs w:val="16"/>
        <w:lang w:val="el-GR"/>
      </w:rPr>
    </w:pPr>
    <w:r>
      <w:rPr>
        <w:noProof/>
        <w:lang w:val="el-GR" w:eastAsia="el-GR"/>
      </w:rPr>
      <w:pict>
        <v:shapetype id="_x0000_t202" coordsize="21600,21600" o:spt="202" path="m,l,21600r21600,l21600,xe">
          <v:stroke joinstyle="miter"/>
          <v:path gradientshapeok="t" o:connecttype="rect"/>
        </v:shapetype>
        <v:shape id="_x0000_s2057" type="#_x0000_t202" style="position:absolute;left:0;text-align:left;margin-left:-89.85pt;margin-top:6.1pt;width:603pt;height:203.7pt;z-index:251653632" fillcolor="silver" strokecolor="silver">
          <v:textbox style="mso-next-textbox:#_x0000_s2057">
            <w:txbxContent>
              <w:p w:rsidR="007D78F8" w:rsidRPr="00A6329D" w:rsidRDefault="007D78F8" w:rsidP="00E00D26"/>
            </w:txbxContent>
          </v:textbox>
        </v:shape>
      </w:pict>
    </w:r>
  </w:p>
  <w:p w:rsidR="007D78F8" w:rsidRPr="003E06BE" w:rsidRDefault="007D78F8" w:rsidP="00471EA2">
    <w:pPr>
      <w:pStyle w:val="Footer"/>
      <w:tabs>
        <w:tab w:val="left" w:pos="720"/>
      </w:tabs>
      <w:spacing w:after="80"/>
      <w:ind w:left="-720" w:right="-873"/>
      <w:jc w:val="center"/>
      <w:rPr>
        <w:rFonts w:ascii="Tahoma" w:hAnsi="Tahoma" w:cs="Tahoma"/>
        <w:b/>
        <w:bCs/>
        <w:sz w:val="4"/>
        <w:szCs w:val="4"/>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F8" w:rsidRDefault="007D78F8">
      <w:r>
        <w:separator/>
      </w:r>
    </w:p>
  </w:footnote>
  <w:footnote w:type="continuationSeparator" w:id="0">
    <w:p w:rsidR="007D78F8" w:rsidRDefault="007D7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F8" w:rsidRPr="00146CD5" w:rsidRDefault="007D78F8">
    <w:pPr>
      <w:pStyle w:val="Header"/>
      <w:rPr>
        <w:rFonts w:ascii="Tahoma" w:hAnsi="Tahoma" w:cs="Tahoma"/>
        <w:sz w:val="22"/>
        <w:szCs w:val="22"/>
      </w:rPr>
    </w:pPr>
  </w:p>
  <w:p w:rsidR="007D78F8" w:rsidRDefault="007D78F8" w:rsidP="00D61585">
    <w:pPr>
      <w:pStyle w:val="Header"/>
      <w:jc w:val="center"/>
      <w:rPr>
        <w:rFonts w:ascii="Tahoma" w:hAnsi="Tahoma" w:cs="Tahoma"/>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25pt;height:68.25pt;mso-position-horizontal-relative:char;mso-position-vertical-relative:line">
          <v:imagedata r:id="rId1" o:title=""/>
        </v:shape>
      </w:pict>
    </w:r>
  </w:p>
  <w:p w:rsidR="007D78F8" w:rsidRPr="00BA3EEE" w:rsidRDefault="007D78F8">
    <w:pPr>
      <w:pStyle w:val="Header"/>
      <w:rPr>
        <w:rFonts w:ascii="Tahoma" w:hAnsi="Tahoma" w:cs="Tahoma"/>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F8" w:rsidRPr="00146CD5" w:rsidRDefault="007D78F8" w:rsidP="00F22FFA">
    <w:pPr>
      <w:pStyle w:val="Header"/>
      <w:rPr>
        <w:rFonts w:ascii="Tahoma" w:hAnsi="Tahoma" w:cs="Tahoma"/>
        <w:sz w:val="22"/>
        <w:szCs w:val="22"/>
      </w:rPr>
    </w:pPr>
  </w:p>
  <w:p w:rsidR="007D78F8" w:rsidRPr="00146CD5" w:rsidRDefault="007D78F8" w:rsidP="00146CD5">
    <w:pPr>
      <w:pStyle w:val="Header"/>
      <w:jc w:val="center"/>
      <w:rPr>
        <w:rFonts w:ascii="Tahoma" w:hAnsi="Tahoma" w:cs="Tahoma"/>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8.25pt;height:68.25pt;mso-position-horizontal-relative:char;mso-position-vertical-relative:line">
          <v:imagedata r:id="rId1" o:title=""/>
        </v:shape>
      </w:pict>
    </w:r>
  </w:p>
  <w:p w:rsidR="007D78F8" w:rsidRPr="00BA3EEE" w:rsidRDefault="007D78F8" w:rsidP="00F22FFA">
    <w:pPr>
      <w:pStyle w:val="Header"/>
      <w:rPr>
        <w:rFonts w:ascii="Tahoma" w:hAnsi="Tahoma" w:cs="Tahoma"/>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D3B2F"/>
    <w:multiLevelType w:val="hybridMultilevel"/>
    <w:tmpl w:val="68609242"/>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1">
    <w:nsid w:val="746B6D32"/>
    <w:multiLevelType w:val="hybridMultilevel"/>
    <w:tmpl w:val="B32E8328"/>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hint="default"/>
      </w:rPr>
    </w:lvl>
    <w:lvl w:ilvl="8" w:tplc="04080005" w:tentative="1">
      <w:start w:val="1"/>
      <w:numFmt w:val="bullet"/>
      <w:lvlText w:val=""/>
      <w:lvlJc w:val="left"/>
      <w:pPr>
        <w:ind w:left="65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doNotHyphenateCaps/>
  <w:doNotShadeFormData/>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446"/>
    <w:rsid w:val="00005C6E"/>
    <w:rsid w:val="000138EF"/>
    <w:rsid w:val="000139AB"/>
    <w:rsid w:val="00021B7F"/>
    <w:rsid w:val="00024F65"/>
    <w:rsid w:val="00035DC9"/>
    <w:rsid w:val="00044229"/>
    <w:rsid w:val="00056D96"/>
    <w:rsid w:val="00082762"/>
    <w:rsid w:val="00086889"/>
    <w:rsid w:val="00091342"/>
    <w:rsid w:val="000D5061"/>
    <w:rsid w:val="000E0A29"/>
    <w:rsid w:val="001014A1"/>
    <w:rsid w:val="00104904"/>
    <w:rsid w:val="00122D8B"/>
    <w:rsid w:val="00142820"/>
    <w:rsid w:val="00146CD5"/>
    <w:rsid w:val="00150A23"/>
    <w:rsid w:val="001828DC"/>
    <w:rsid w:val="00182B41"/>
    <w:rsid w:val="0018353F"/>
    <w:rsid w:val="001C7713"/>
    <w:rsid w:val="00214B04"/>
    <w:rsid w:val="0022445A"/>
    <w:rsid w:val="00224C84"/>
    <w:rsid w:val="0023352C"/>
    <w:rsid w:val="0023379C"/>
    <w:rsid w:val="002437D8"/>
    <w:rsid w:val="00246774"/>
    <w:rsid w:val="00256A7B"/>
    <w:rsid w:val="002665A6"/>
    <w:rsid w:val="002808D4"/>
    <w:rsid w:val="00281C28"/>
    <w:rsid w:val="00282120"/>
    <w:rsid w:val="00285B65"/>
    <w:rsid w:val="00287560"/>
    <w:rsid w:val="00293372"/>
    <w:rsid w:val="002954D4"/>
    <w:rsid w:val="002A6996"/>
    <w:rsid w:val="002F75CE"/>
    <w:rsid w:val="00301819"/>
    <w:rsid w:val="003205B4"/>
    <w:rsid w:val="003206EE"/>
    <w:rsid w:val="00321518"/>
    <w:rsid w:val="003227AC"/>
    <w:rsid w:val="00333003"/>
    <w:rsid w:val="00335623"/>
    <w:rsid w:val="00340F59"/>
    <w:rsid w:val="00346477"/>
    <w:rsid w:val="00362EBC"/>
    <w:rsid w:val="00393596"/>
    <w:rsid w:val="00395689"/>
    <w:rsid w:val="003A26CB"/>
    <w:rsid w:val="003A38B9"/>
    <w:rsid w:val="003A3929"/>
    <w:rsid w:val="003A55C9"/>
    <w:rsid w:val="003B7C7F"/>
    <w:rsid w:val="003E06BE"/>
    <w:rsid w:val="003F2137"/>
    <w:rsid w:val="00433446"/>
    <w:rsid w:val="00442788"/>
    <w:rsid w:val="00471EA2"/>
    <w:rsid w:val="0047579F"/>
    <w:rsid w:val="00480FCE"/>
    <w:rsid w:val="00481C8D"/>
    <w:rsid w:val="00481F09"/>
    <w:rsid w:val="00494442"/>
    <w:rsid w:val="004A7E6C"/>
    <w:rsid w:val="004B5AA7"/>
    <w:rsid w:val="004C1408"/>
    <w:rsid w:val="004C74AD"/>
    <w:rsid w:val="004D666D"/>
    <w:rsid w:val="004F10CD"/>
    <w:rsid w:val="004F4A87"/>
    <w:rsid w:val="00521AAD"/>
    <w:rsid w:val="0052325F"/>
    <w:rsid w:val="00524A75"/>
    <w:rsid w:val="0054593C"/>
    <w:rsid w:val="0057720B"/>
    <w:rsid w:val="005A2A42"/>
    <w:rsid w:val="005B51AF"/>
    <w:rsid w:val="005C462C"/>
    <w:rsid w:val="005C7726"/>
    <w:rsid w:val="005E0F42"/>
    <w:rsid w:val="005E50A2"/>
    <w:rsid w:val="005F7941"/>
    <w:rsid w:val="0060309B"/>
    <w:rsid w:val="0061234C"/>
    <w:rsid w:val="0063255E"/>
    <w:rsid w:val="00652FAA"/>
    <w:rsid w:val="00661427"/>
    <w:rsid w:val="00680179"/>
    <w:rsid w:val="00695538"/>
    <w:rsid w:val="00695A87"/>
    <w:rsid w:val="006C4581"/>
    <w:rsid w:val="006D1DBD"/>
    <w:rsid w:val="006E6531"/>
    <w:rsid w:val="006F155C"/>
    <w:rsid w:val="006F1C82"/>
    <w:rsid w:val="006F37C9"/>
    <w:rsid w:val="006F6D4F"/>
    <w:rsid w:val="007107CC"/>
    <w:rsid w:val="00741CCE"/>
    <w:rsid w:val="0075514F"/>
    <w:rsid w:val="00786B5B"/>
    <w:rsid w:val="007A345B"/>
    <w:rsid w:val="007B45B5"/>
    <w:rsid w:val="007C14BA"/>
    <w:rsid w:val="007D78F8"/>
    <w:rsid w:val="007F3F53"/>
    <w:rsid w:val="00820934"/>
    <w:rsid w:val="00826350"/>
    <w:rsid w:val="00853AE1"/>
    <w:rsid w:val="008832F5"/>
    <w:rsid w:val="00886A0F"/>
    <w:rsid w:val="008B5F9D"/>
    <w:rsid w:val="008E4734"/>
    <w:rsid w:val="008F1FB0"/>
    <w:rsid w:val="00913373"/>
    <w:rsid w:val="009237EA"/>
    <w:rsid w:val="00925B0D"/>
    <w:rsid w:val="00934A80"/>
    <w:rsid w:val="0094785A"/>
    <w:rsid w:val="00953549"/>
    <w:rsid w:val="0099434D"/>
    <w:rsid w:val="0099445E"/>
    <w:rsid w:val="009A7C91"/>
    <w:rsid w:val="009D272C"/>
    <w:rsid w:val="009D5885"/>
    <w:rsid w:val="009E0694"/>
    <w:rsid w:val="009E7F2F"/>
    <w:rsid w:val="009F7D5B"/>
    <w:rsid w:val="00A15030"/>
    <w:rsid w:val="00A31544"/>
    <w:rsid w:val="00A31DED"/>
    <w:rsid w:val="00A34303"/>
    <w:rsid w:val="00A6329D"/>
    <w:rsid w:val="00A95DAC"/>
    <w:rsid w:val="00AA2EE7"/>
    <w:rsid w:val="00AA3C32"/>
    <w:rsid w:val="00AE6F68"/>
    <w:rsid w:val="00AF25C6"/>
    <w:rsid w:val="00AF61C5"/>
    <w:rsid w:val="00B473E5"/>
    <w:rsid w:val="00B876CA"/>
    <w:rsid w:val="00B97C34"/>
    <w:rsid w:val="00BA21E3"/>
    <w:rsid w:val="00BA3EEE"/>
    <w:rsid w:val="00BC170B"/>
    <w:rsid w:val="00BD47EA"/>
    <w:rsid w:val="00BE5A12"/>
    <w:rsid w:val="00BE6E0E"/>
    <w:rsid w:val="00BF0C87"/>
    <w:rsid w:val="00C164B2"/>
    <w:rsid w:val="00C306FF"/>
    <w:rsid w:val="00C561D5"/>
    <w:rsid w:val="00C8210F"/>
    <w:rsid w:val="00C9332C"/>
    <w:rsid w:val="00CB66E4"/>
    <w:rsid w:val="00CC717C"/>
    <w:rsid w:val="00CD6B28"/>
    <w:rsid w:val="00CD6B5B"/>
    <w:rsid w:val="00CF77DC"/>
    <w:rsid w:val="00D031B8"/>
    <w:rsid w:val="00D05DB5"/>
    <w:rsid w:val="00D20949"/>
    <w:rsid w:val="00D2329D"/>
    <w:rsid w:val="00D32389"/>
    <w:rsid w:val="00D61585"/>
    <w:rsid w:val="00D66715"/>
    <w:rsid w:val="00D913FB"/>
    <w:rsid w:val="00D93813"/>
    <w:rsid w:val="00DA0821"/>
    <w:rsid w:val="00DA0ED4"/>
    <w:rsid w:val="00DA2D31"/>
    <w:rsid w:val="00DA56C2"/>
    <w:rsid w:val="00DB5B2E"/>
    <w:rsid w:val="00DC3C41"/>
    <w:rsid w:val="00DF76CC"/>
    <w:rsid w:val="00E00D26"/>
    <w:rsid w:val="00E023A0"/>
    <w:rsid w:val="00E02967"/>
    <w:rsid w:val="00E329F0"/>
    <w:rsid w:val="00E36DF9"/>
    <w:rsid w:val="00E42E33"/>
    <w:rsid w:val="00E54E72"/>
    <w:rsid w:val="00E979A2"/>
    <w:rsid w:val="00EA1818"/>
    <w:rsid w:val="00EB0D65"/>
    <w:rsid w:val="00EB6EAC"/>
    <w:rsid w:val="00EE44D9"/>
    <w:rsid w:val="00F05A22"/>
    <w:rsid w:val="00F12D6A"/>
    <w:rsid w:val="00F137BF"/>
    <w:rsid w:val="00F170B0"/>
    <w:rsid w:val="00F20887"/>
    <w:rsid w:val="00F22FFA"/>
    <w:rsid w:val="00F2444D"/>
    <w:rsid w:val="00F47F1B"/>
    <w:rsid w:val="00F71C46"/>
    <w:rsid w:val="00F8386F"/>
    <w:rsid w:val="00F83A6A"/>
    <w:rsid w:val="00F875B4"/>
    <w:rsid w:val="00FB35C8"/>
    <w:rsid w:val="00FD21AB"/>
    <w:rsid w:val="00FE770F"/>
    <w:rsid w:val="00FF40B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0F"/>
    <w:rPr>
      <w:rFonts w:ascii="dd" w:hAnsi="dd"/>
      <w:sz w:val="20"/>
      <w:szCs w:val="20"/>
      <w:lang w:val="en-GB" w:eastAsia="en-US"/>
    </w:rPr>
  </w:style>
  <w:style w:type="paragraph" w:styleId="Heading1">
    <w:name w:val="heading 1"/>
    <w:basedOn w:val="Normal"/>
    <w:next w:val="Normal"/>
    <w:link w:val="Heading1Char"/>
    <w:uiPriority w:val="99"/>
    <w:qFormat/>
    <w:rsid w:val="00C8210F"/>
    <w:pPr>
      <w:keepNext/>
      <w:outlineLvl w:val="0"/>
    </w:pPr>
    <w:rPr>
      <w:rFonts w:ascii="Tahoma" w:hAnsi="Tahoma" w:cs="Tahoma"/>
      <w:b/>
      <w:bCs/>
      <w:sz w:val="16"/>
      <w:szCs w:val="1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3F53"/>
    <w:rPr>
      <w:rFonts w:ascii="Cambria" w:hAnsi="Cambria" w:cs="Times New Roman"/>
      <w:b/>
      <w:bCs/>
      <w:kern w:val="32"/>
      <w:sz w:val="32"/>
      <w:szCs w:val="32"/>
      <w:lang w:val="en-GB" w:eastAsia="en-US"/>
    </w:rPr>
  </w:style>
  <w:style w:type="paragraph" w:styleId="Header">
    <w:name w:val="header"/>
    <w:basedOn w:val="Normal"/>
    <w:link w:val="HeaderChar"/>
    <w:uiPriority w:val="99"/>
    <w:semiHidden/>
    <w:rsid w:val="00C8210F"/>
    <w:pPr>
      <w:tabs>
        <w:tab w:val="center" w:pos="4153"/>
        <w:tab w:val="right" w:pos="8306"/>
      </w:tabs>
    </w:pPr>
  </w:style>
  <w:style w:type="character" w:customStyle="1" w:styleId="HeaderChar">
    <w:name w:val="Header Char"/>
    <w:basedOn w:val="DefaultParagraphFont"/>
    <w:link w:val="Header"/>
    <w:uiPriority w:val="99"/>
    <w:semiHidden/>
    <w:locked/>
    <w:rsid w:val="007F3F53"/>
    <w:rPr>
      <w:rFonts w:ascii="dd" w:hAnsi="dd" w:cs="Times New Roman"/>
      <w:sz w:val="20"/>
      <w:szCs w:val="20"/>
      <w:lang w:val="en-GB" w:eastAsia="en-US"/>
    </w:rPr>
  </w:style>
  <w:style w:type="paragraph" w:styleId="Footer">
    <w:name w:val="footer"/>
    <w:basedOn w:val="Normal"/>
    <w:link w:val="FooterChar1"/>
    <w:uiPriority w:val="99"/>
    <w:rsid w:val="00C8210F"/>
    <w:pPr>
      <w:tabs>
        <w:tab w:val="center" w:pos="4153"/>
        <w:tab w:val="right" w:pos="8306"/>
      </w:tabs>
    </w:pPr>
  </w:style>
  <w:style w:type="character" w:customStyle="1" w:styleId="FooterChar">
    <w:name w:val="Footer Char"/>
    <w:basedOn w:val="DefaultParagraphFont"/>
    <w:link w:val="Footer"/>
    <w:uiPriority w:val="99"/>
    <w:semiHidden/>
    <w:locked/>
    <w:rsid w:val="00E00D26"/>
    <w:rPr>
      <w:rFonts w:cs="Times New Roman"/>
    </w:rPr>
  </w:style>
  <w:style w:type="character" w:styleId="PageNumber">
    <w:name w:val="page number"/>
    <w:basedOn w:val="DefaultParagraphFont"/>
    <w:uiPriority w:val="99"/>
    <w:semiHidden/>
    <w:rsid w:val="00C8210F"/>
    <w:rPr>
      <w:rFonts w:ascii="Tahoma" w:hAnsi="Tahoma" w:cs="Times New Roman"/>
      <w:sz w:val="22"/>
    </w:rPr>
  </w:style>
  <w:style w:type="character" w:styleId="Hyperlink">
    <w:name w:val="Hyperlink"/>
    <w:basedOn w:val="DefaultParagraphFont"/>
    <w:uiPriority w:val="99"/>
    <w:rsid w:val="00F22FFA"/>
    <w:rPr>
      <w:rFonts w:cs="Times New Roman"/>
      <w:color w:val="0000FF"/>
      <w:u w:val="single"/>
    </w:rPr>
  </w:style>
  <w:style w:type="character" w:customStyle="1" w:styleId="FooterChar1">
    <w:name w:val="Footer Char1"/>
    <w:link w:val="Footer"/>
    <w:uiPriority w:val="99"/>
    <w:locked/>
    <w:rsid w:val="00786B5B"/>
    <w:rPr>
      <w:rFonts w:ascii="dd" w:hAnsi="dd"/>
      <w:lang w:val="en-GB" w:eastAsia="en-US"/>
    </w:rPr>
  </w:style>
  <w:style w:type="paragraph" w:styleId="ListParagraph">
    <w:name w:val="List Paragraph"/>
    <w:basedOn w:val="Normal"/>
    <w:uiPriority w:val="99"/>
    <w:qFormat/>
    <w:rsid w:val="000E0A29"/>
    <w:pPr>
      <w:spacing w:after="200" w:line="276" w:lineRule="auto"/>
      <w:ind w:left="720"/>
      <w:contextualSpacing/>
    </w:pPr>
    <w:rPr>
      <w:rFonts w:ascii="Calibri" w:hAnsi="Calibri"/>
      <w:sz w:val="22"/>
      <w:szCs w:val="22"/>
      <w:lang w:val="el-GR"/>
    </w:rPr>
  </w:style>
  <w:style w:type="character" w:customStyle="1" w:styleId="Bodytext2Bold">
    <w:name w:val="Body text (2) + Bold"/>
    <w:uiPriority w:val="99"/>
    <w:rsid w:val="000E0A29"/>
    <w:rPr>
      <w:rFonts w:ascii="Times New Roman" w:hAnsi="Times New Roman"/>
      <w:b/>
      <w:color w:val="000000"/>
      <w:spacing w:val="0"/>
      <w:w w:val="100"/>
      <w:position w:val="0"/>
      <w:sz w:val="24"/>
      <w:u w:val="none"/>
      <w:lang w:val="el-GR" w:eastAsia="el-GR"/>
    </w:rPr>
  </w:style>
  <w:style w:type="paragraph" w:customStyle="1" w:styleId="Alex">
    <w:name w:val="Alex"/>
    <w:basedOn w:val="BodyText"/>
    <w:uiPriority w:val="99"/>
    <w:rsid w:val="00953549"/>
    <w:pPr>
      <w:spacing w:after="0"/>
      <w:jc w:val="both"/>
    </w:pPr>
    <w:rPr>
      <w:rFonts w:ascii="Book Antiqua" w:hAnsi="Book Antiqua"/>
      <w:bCs/>
      <w:szCs w:val="24"/>
      <w:lang w:val="el-GR" w:eastAsia="el-GR"/>
    </w:rPr>
  </w:style>
  <w:style w:type="paragraph" w:styleId="BodyText">
    <w:name w:val="Body Text"/>
    <w:basedOn w:val="Normal"/>
    <w:link w:val="BodyTextChar"/>
    <w:uiPriority w:val="99"/>
    <w:rsid w:val="00953549"/>
    <w:pPr>
      <w:spacing w:after="120"/>
    </w:pPr>
  </w:style>
  <w:style w:type="character" w:customStyle="1" w:styleId="BodyTextChar">
    <w:name w:val="Body Text Char"/>
    <w:basedOn w:val="DefaultParagraphFont"/>
    <w:link w:val="BodyText"/>
    <w:uiPriority w:val="99"/>
    <w:semiHidden/>
    <w:locked/>
    <w:rsid w:val="00481F09"/>
    <w:rPr>
      <w:rFonts w:ascii="dd" w:hAnsi="dd" w:cs="Times New Roman"/>
      <w:sz w:val="20"/>
      <w:szCs w:val="20"/>
      <w:lang w:val="en-GB" w:eastAsia="en-US"/>
    </w:rPr>
  </w:style>
  <w:style w:type="character" w:customStyle="1" w:styleId="tlid-translationtranslation">
    <w:name w:val="tlid-translation translation"/>
    <w:basedOn w:val="DefaultParagraphFont"/>
    <w:uiPriority w:val="99"/>
    <w:rsid w:val="0094785A"/>
    <w:rPr>
      <w:rFonts w:cs="Times New Roman"/>
    </w:rPr>
  </w:style>
</w:styles>
</file>

<file path=word/webSettings.xml><?xml version="1.0" encoding="utf-8"?>
<w:webSettings xmlns:r="http://schemas.openxmlformats.org/officeDocument/2006/relationships" xmlns:w="http://schemas.openxmlformats.org/wordprocessingml/2006/main">
  <w:divs>
    <w:div w:id="2051957108">
      <w:marLeft w:val="0"/>
      <w:marRight w:val="0"/>
      <w:marTop w:val="0"/>
      <w:marBottom w:val="0"/>
      <w:divBdr>
        <w:top w:val="none" w:sz="0" w:space="0" w:color="auto"/>
        <w:left w:val="none" w:sz="0" w:space="0" w:color="auto"/>
        <w:bottom w:val="none" w:sz="0" w:space="0" w:color="auto"/>
        <w:right w:val="none" w:sz="0" w:space="0" w:color="auto"/>
      </w:divBdr>
    </w:div>
    <w:div w:id="2051957109">
      <w:marLeft w:val="0"/>
      <w:marRight w:val="0"/>
      <w:marTop w:val="0"/>
      <w:marBottom w:val="0"/>
      <w:divBdr>
        <w:top w:val="none" w:sz="0" w:space="0" w:color="auto"/>
        <w:left w:val="none" w:sz="0" w:space="0" w:color="auto"/>
        <w:bottom w:val="none" w:sz="0" w:space="0" w:color="auto"/>
        <w:right w:val="none" w:sz="0" w:space="0" w:color="auto"/>
      </w:divBdr>
    </w:div>
    <w:div w:id="2051957110">
      <w:marLeft w:val="0"/>
      <w:marRight w:val="0"/>
      <w:marTop w:val="0"/>
      <w:marBottom w:val="0"/>
      <w:divBdr>
        <w:top w:val="none" w:sz="0" w:space="0" w:color="auto"/>
        <w:left w:val="none" w:sz="0" w:space="0" w:color="auto"/>
        <w:bottom w:val="none" w:sz="0" w:space="0" w:color="auto"/>
        <w:right w:val="none" w:sz="0" w:space="0" w:color="auto"/>
      </w:divBdr>
    </w:div>
    <w:div w:id="2051957111">
      <w:marLeft w:val="0"/>
      <w:marRight w:val="0"/>
      <w:marTop w:val="0"/>
      <w:marBottom w:val="0"/>
      <w:divBdr>
        <w:top w:val="none" w:sz="0" w:space="0" w:color="auto"/>
        <w:left w:val="none" w:sz="0" w:space="0" w:color="auto"/>
        <w:bottom w:val="none" w:sz="0" w:space="0" w:color="auto"/>
        <w:right w:val="none" w:sz="0" w:space="0" w:color="auto"/>
      </w:divBdr>
    </w:div>
    <w:div w:id="2051957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p-avax.gr/default.aspx?pid=335&amp;CTID=20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cmc.gr/en_EN/web/portal/elib/delt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hexgroup.gr/en/web/guest/company-prospectus/-/select-company/1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598</Words>
  <Characters>3232</Characters>
  <Application>Microsoft Office Outlook</Application>
  <DocSecurity>0</DocSecurity>
  <Lines>0</Lines>
  <Paragraphs>0</Paragraphs>
  <ScaleCrop>false</ScaleCrop>
  <Company>Tradelink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Form - Hellenic</dc:title>
  <dc:subject/>
  <dc:creator>Chrysa Mylonaki</dc:creator>
  <cp:keywords/>
  <dc:description/>
  <cp:lastModifiedBy>Angelos Kiosklis</cp:lastModifiedBy>
  <cp:revision>8</cp:revision>
  <cp:lastPrinted>2019-04-19T13:22:00Z</cp:lastPrinted>
  <dcterms:created xsi:type="dcterms:W3CDTF">2020-01-20T13:43:00Z</dcterms:created>
  <dcterms:modified xsi:type="dcterms:W3CDTF">2020-01-20T15:31:00Z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ies>
</file>