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08" w:rsidRPr="005C20EC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55D0D" wp14:editId="530FBC13">
                <wp:simplePos x="0" y="0"/>
                <wp:positionH relativeFrom="column">
                  <wp:posOffset>3365583</wp:posOffset>
                </wp:positionH>
                <wp:positionV relativeFrom="paragraph">
                  <wp:posOffset>-516807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CF9" w:rsidRPr="00CB6708" w:rsidRDefault="00785CF9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55D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5pt;margin-top:-40.7pt;width:167.4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" filled="f" stroked="f" strokeweight=".5pt">
                <v:textbox>
                  <w:txbxContent>
                    <w:p w:rsidR="00785CF9" w:rsidRPr="00CB6708" w:rsidRDefault="00785CF9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</v:shape>
            </w:pict>
          </mc:Fallback>
        </mc:AlternateContent>
      </w:r>
      <w:r w:rsidR="002E72A2">
        <w:rPr>
          <w:noProof/>
          <w:lang w:val="en-GB" w:eastAsia="en-GB"/>
        </w:rPr>
        <w:t xml:space="preserve"> January</w:t>
      </w:r>
      <w:r w:rsidR="0072253A">
        <w:rPr>
          <w:noProof/>
          <w:lang w:val="en-GB" w:eastAsia="en-GB"/>
        </w:rPr>
        <w:t xml:space="preserve"> </w:t>
      </w:r>
      <w:r w:rsidR="002E72A2">
        <w:rPr>
          <w:noProof/>
          <w:lang w:val="en-GB" w:eastAsia="en-GB"/>
        </w:rPr>
        <w:t>08</w:t>
      </w:r>
      <w:r w:rsidR="005B3DBD" w:rsidRPr="005C20EC">
        <w:rPr>
          <w:lang w:val="en-GB"/>
        </w:rPr>
        <w:t>,</w:t>
      </w:r>
      <w:r w:rsidRPr="005C20EC">
        <w:rPr>
          <w:lang w:val="en-GB"/>
        </w:rPr>
        <w:t xml:space="preserve"> </w:t>
      </w:r>
      <w:r w:rsidR="00CD40E0">
        <w:rPr>
          <w:lang w:val="en-GB"/>
        </w:rPr>
        <w:t>20</w:t>
      </w:r>
      <w:r w:rsidR="002E72A2">
        <w:rPr>
          <w:lang w:val="en-GB"/>
        </w:rPr>
        <w:t>21</w:t>
      </w:r>
    </w:p>
    <w:p w:rsidR="0051381C" w:rsidRPr="00694BE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US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2E72A2">
        <w:rPr>
          <w:iCs/>
          <w:noProof/>
          <w:lang w:val="en-GB"/>
        </w:rPr>
        <w:t>results, effective as of January 11</w:t>
      </w:r>
      <w:r w:rsidRPr="00DC26AA">
        <w:rPr>
          <w:iCs/>
          <w:noProof/>
          <w:lang w:val="en-GB"/>
        </w:rPr>
        <w:t>, 20</w:t>
      </w:r>
      <w:r w:rsidR="002E72A2">
        <w:rPr>
          <w:iCs/>
          <w:noProof/>
          <w:lang w:val="en-GB"/>
        </w:rPr>
        <w:t>21</w:t>
      </w:r>
      <w:r w:rsidRPr="00DC26AA">
        <w:rPr>
          <w:iCs/>
          <w:noProof/>
          <w:lang w:val="en-GB"/>
        </w:rPr>
        <w:t xml:space="preserve"> </w:t>
      </w:r>
    </w:p>
    <w:p w:rsidR="00DC26AA" w:rsidRPr="0072253A" w:rsidRDefault="00DC26AA" w:rsidP="00DC26AA">
      <w:pPr>
        <w:rPr>
          <w:iCs/>
          <w:noProof/>
          <w:lang w:val="en-US"/>
        </w:rPr>
      </w:pPr>
      <w:r w:rsidRPr="00DC26AA">
        <w:rPr>
          <w:iCs/>
          <w:noProof/>
          <w:lang w:val="en-GB"/>
        </w:rPr>
        <w:t xml:space="preserve">Athens Stock Exchange announces the Main Market stock liquidity class assessment results, effective as of </w:t>
      </w:r>
      <w:r w:rsidR="002E72A2">
        <w:rPr>
          <w:b/>
          <w:iCs/>
          <w:noProof/>
          <w:lang w:val="en-GB"/>
        </w:rPr>
        <w:t>Janyary 11</w:t>
      </w:r>
      <w:r w:rsidRPr="001B1BFC">
        <w:rPr>
          <w:b/>
          <w:iCs/>
          <w:noProof/>
          <w:lang w:val="en-GB"/>
        </w:rPr>
        <w:t>, 20</w:t>
      </w:r>
      <w:r w:rsidR="002E72A2">
        <w:rPr>
          <w:b/>
          <w:iCs/>
          <w:noProof/>
          <w:lang w:val="en-GB"/>
        </w:rPr>
        <w:t>21</w:t>
      </w:r>
      <w:r w:rsidRPr="00DC26AA">
        <w:rPr>
          <w:iCs/>
          <w:noProof/>
          <w:lang w:val="en-GB"/>
        </w:rPr>
        <w:t xml:space="preserve"> (</w:t>
      </w:r>
      <w:r w:rsidRPr="00DC26AA">
        <w:rPr>
          <w:b/>
          <w:iCs/>
          <w:noProof/>
          <w:lang w:val="en-GB"/>
        </w:rPr>
        <w:t>Tables 1, 2, 3</w:t>
      </w:r>
      <w:r w:rsidRPr="00DC26AA">
        <w:rPr>
          <w:iCs/>
          <w:noProof/>
          <w:lang w:val="en-GB"/>
        </w:rPr>
        <w:t>).</w:t>
      </w:r>
    </w:p>
    <w:p w:rsidR="00DC26AA" w:rsidRPr="00DC26AA" w:rsidRDefault="00DC26AA" w:rsidP="00DC26AA">
      <w:pPr>
        <w:rPr>
          <w:iCs/>
          <w:noProof/>
          <w:lang w:val="en-GB"/>
        </w:rPr>
      </w:pPr>
      <w:r w:rsidRPr="00DC26AA">
        <w:rPr>
          <w:iCs/>
          <w:noProof/>
          <w:lang w:val="en-GB"/>
        </w:rPr>
        <w:t>In accordance to the aforementioned decision the following changes conclude with respect to the previous three-month period:</w:t>
      </w:r>
    </w:p>
    <w:p w:rsidR="00DC26AA" w:rsidRPr="00E04C66" w:rsidRDefault="00DC26AA" w:rsidP="00DC26AA">
      <w:pPr>
        <w:numPr>
          <w:ilvl w:val="0"/>
          <w:numId w:val="12"/>
        </w:numPr>
        <w:rPr>
          <w:iCs/>
          <w:noProof/>
          <w:lang w:val="en-GB"/>
        </w:rPr>
      </w:pPr>
      <w:r w:rsidRPr="00DC26AA">
        <w:rPr>
          <w:b/>
          <w:iCs/>
          <w:noProof/>
          <w:lang w:val="en-GB"/>
        </w:rPr>
        <w:t>Table 4:</w:t>
      </w:r>
      <w:r w:rsidRPr="00DC26AA">
        <w:rPr>
          <w:iCs/>
          <w:noProof/>
          <w:lang w:val="en-GB"/>
        </w:rPr>
        <w:t xml:space="preserve"> </w:t>
      </w:r>
      <w:r w:rsidRPr="00DC26AA">
        <w:rPr>
          <w:iCs/>
          <w:noProof/>
          <w:lang w:val="en-US"/>
        </w:rPr>
        <w:t xml:space="preserve">Main Market </w:t>
      </w:r>
      <w:r w:rsidRPr="00DC26AA">
        <w:rPr>
          <w:iCs/>
          <w:noProof/>
          <w:lang w:val="en-GB"/>
        </w:rPr>
        <w:t>S</w:t>
      </w:r>
      <w:r w:rsidRPr="00DC26AA">
        <w:rPr>
          <w:iCs/>
          <w:noProof/>
          <w:lang w:val="en-US"/>
        </w:rPr>
        <w:t xml:space="preserve">tocks changing trading liquidity class </w:t>
      </w: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Default="00E04C66" w:rsidP="00E04C66">
      <w:pPr>
        <w:rPr>
          <w:iCs/>
          <w:noProof/>
          <w:lang w:val="en-GB"/>
        </w:rPr>
      </w:pPr>
    </w:p>
    <w:p w:rsidR="00E04C66" w:rsidRPr="00DC26AA" w:rsidRDefault="00E04C66" w:rsidP="00E04C66">
      <w:pPr>
        <w:rPr>
          <w:iCs/>
          <w:noProof/>
          <w:lang w:val="en-GB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2E72A2" w:rsidRPr="002E72A2" w:rsidTr="00F16673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</w:pPr>
            <w:bookmarkStart w:id="0" w:name="RANGE!A1"/>
            <w:r w:rsidRPr="002E72A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  <w:lastRenderedPageBreak/>
              <w:t xml:space="preserve">TABLE 1: HIGH LIQUIDITY CLASS OF THE ATHEX MAIN MARKET </w:t>
            </w:r>
            <w:bookmarkEnd w:id="0"/>
          </w:p>
        </w:tc>
      </w:tr>
      <w:tr w:rsidR="002E72A2" w:rsidRPr="004712AE" w:rsidTr="00F16673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GRS518003009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GRS495003006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ALPHA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GRS015003007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GRS213213002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GRS282183003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BE0974303357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CH0198251305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GRS191213008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HELLENIC PETROLEUM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GRS298343005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GRS003003035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GRS323003012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GRS395363005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GRS359353000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GRS096003009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GRS145003000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GRS260333000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GRS372003004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GRS087003000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GRS245213004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MARFIN INVESTMENT GROUP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GRS314003005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GRS426003000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GRS393503008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GRS419003009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GRS239003007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GRS470003013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GRS434003000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GRS204003008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GRS001003029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GRS496003005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BE0974338700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PIRAEUS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GRS014003024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BE0974271034</w:t>
            </w:r>
          </w:p>
        </w:tc>
      </w:tr>
    </w:tbl>
    <w:p w:rsidR="00DA057E" w:rsidRDefault="00DA057E" w:rsidP="00DA057E"/>
    <w:p w:rsidR="007728C6" w:rsidRDefault="007728C6" w:rsidP="00DA057E"/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7"/>
        <w:gridCol w:w="5520"/>
        <w:gridCol w:w="1700"/>
      </w:tblGrid>
      <w:tr w:rsidR="002E72A2" w:rsidRPr="002E72A2" w:rsidTr="00F16673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  <w:lastRenderedPageBreak/>
              <w:t xml:space="preserve">TABLE 2: MEDIUM LIQUIDITY CLASS OF THE ATHEX MAIN MARKET </w:t>
            </w:r>
          </w:p>
        </w:tc>
      </w:tr>
      <w:tr w:rsidR="002E72A2" w:rsidRPr="004712AE" w:rsidTr="00F16673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GRS289103004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GRS433003019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GRS404003006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GRS489003004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GRS084003011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GRS517003000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BYTE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BYTE COMPUTER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GRS368313003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GRS449003003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GRS520003005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GRS413313008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GRS364253005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GRS412503005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GRS222213001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GRS240003012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GRS329503007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GRS281003004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GRS088003017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GRS397003005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GRS503003014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GRS498003003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EUPIC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EUROPEAN RELIANCE INSUR.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GRS277023008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GRS385113006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GRS428003008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GRS332073006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GRS137003000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GRS350263000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GRS475003018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INTRACOM CONSTR.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GRS432003028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IDEAL GROUP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GRS148003015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GRS247003007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GRS106003007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GRS070003009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GRS438003006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GRS474003001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KMOL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GRS315003004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GRS384003000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GRS469003024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LOULIS MILLS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GRS117123000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GRS295003008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GRS047063003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GRS461003006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LYK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INFORM P. LYKOS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GRS208303008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GRS374003002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GRS424003002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 xml:space="preserve">MERMEREN KOMB. A.D. PR. </w:t>
            </w: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GRK014011008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GRS319103008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GRS237003009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GRS488003005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GRS054003009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GRS265003004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NEWS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NEWSPHONE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GRS457003002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GRS427003009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GRS403003007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GRS337003008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GRS275073005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GRS065003014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PASAL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PASAL DEVELOPMENT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GRS497003012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GRS345503007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PLAIS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PLAISIO COMPUTERS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GRS320313000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PPAK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PAPERPACK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GRS405003005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GRS472003011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GRS095003000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GRS396003006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GRS310003009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GRS473003002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GRS402003008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SPIR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SPIROY AGRICULTURE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GRS284183001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GRS004013009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VOGIATZOGLOU SYSTEMS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GRS407183003</w:t>
            </w:r>
          </w:p>
        </w:tc>
      </w:tr>
    </w:tbl>
    <w:p w:rsidR="00BF4E2C" w:rsidRDefault="00BF4E2C" w:rsidP="00DA057E"/>
    <w:p w:rsidR="007728C6" w:rsidRDefault="007728C6" w:rsidP="00DA057E">
      <w:pPr>
        <w:rPr>
          <w:lang w:val="en-US"/>
        </w:rPr>
      </w:pPr>
    </w:p>
    <w:p w:rsidR="00BF4E2C" w:rsidRPr="007728C6" w:rsidRDefault="00BF4E2C" w:rsidP="00DA057E">
      <w:pPr>
        <w:rPr>
          <w:lang w:val="en-US"/>
        </w:rPr>
      </w:pPr>
    </w:p>
    <w:p w:rsidR="00DA057E" w:rsidRDefault="00DA057E" w:rsidP="00DA057E"/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2E72A2" w:rsidRPr="002E72A2" w:rsidTr="00F16673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  <w:t xml:space="preserve">TABLE 3: LOW LIQUIDITY CLASS OF THE ATHEX MAIN MARKET </w:t>
            </w:r>
          </w:p>
        </w:tc>
      </w:tr>
      <w:tr w:rsidR="002E72A2" w:rsidRPr="004712AE" w:rsidTr="00F16673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GRS331043000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GRS340263003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GRS144003001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GRS165063009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GRS382073005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GRS477003008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GRS259003002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IASO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IASO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GRS379233000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GRS147233001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GRS516003001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GRS120003009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GRS354003006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GRS118003003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GRS128003001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GRS090003005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GRS090004003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GRS375183001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GRS387503006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GRS326003019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PRESD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GEKE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GRS398003004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GRS509003018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GRS487003006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GRS131003006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GRS131004004</w:t>
            </w:r>
          </w:p>
        </w:tc>
      </w:tr>
    </w:tbl>
    <w:p w:rsidR="002E72A2" w:rsidRDefault="002E72A2" w:rsidP="00DA057E"/>
    <w:p w:rsidR="00DA057E" w:rsidRDefault="00DA057E" w:rsidP="00DA057E"/>
    <w:p w:rsidR="00BF4E2C" w:rsidRDefault="00DA057E" w:rsidP="00DA057E">
      <w:r>
        <w:br w:type="page"/>
      </w:r>
    </w:p>
    <w:p w:rsidR="00BF4E2C" w:rsidRDefault="00BF4E2C" w:rsidP="00DA057E"/>
    <w:p w:rsidR="002E72A2" w:rsidRDefault="002E72A2" w:rsidP="00DA057E"/>
    <w:p w:rsidR="00BF4E2C" w:rsidRDefault="00BF4E2C" w:rsidP="00DA057E"/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1097"/>
        <w:gridCol w:w="6020"/>
        <w:gridCol w:w="1700"/>
        <w:gridCol w:w="1700"/>
      </w:tblGrid>
      <w:tr w:rsidR="002E72A2" w:rsidRPr="002E72A2" w:rsidTr="00F16673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  <w:t>TABLE 4: Main Market  Trading Activity Categories Changes</w:t>
            </w:r>
            <w:r w:rsidRPr="002E72A2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  <w:lang w:val="en-US"/>
              </w:rPr>
              <w:br/>
              <w:t>(H: High Liquidity M: Medium Liquidity L: Low Liquidity)</w:t>
            </w:r>
          </w:p>
        </w:tc>
      </w:tr>
      <w:tr w:rsidR="002E72A2" w:rsidRPr="004712AE" w:rsidTr="00F16673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New Category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b/>
                <w:bCs/>
                <w:color w:val="556062"/>
                <w:sz w:val="20"/>
                <w:szCs w:val="20"/>
              </w:rPr>
              <w:t>Old Category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ANDRO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AVAX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DOMIK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ELBE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GEBKA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IKTIN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INTERCO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INTRK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KEPEN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KMOL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KARAMOLEGOS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KYLO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LOULIS MILLS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LANAC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LOGISMOS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MATHIO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MERKO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 xml:space="preserve">MERMEREN KOMB. A.D. PR. </w:t>
            </w: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MOTO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NAYP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PASAL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PASAL DEVELOPMENT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PLAT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PPAK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PAPERPACK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L</w:t>
            </w:r>
          </w:p>
        </w:tc>
      </w:tr>
      <w:tr w:rsidR="002E72A2" w:rsidRPr="004712AE" w:rsidTr="00F1667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TATT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2E72A2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</w:pPr>
            <w:r w:rsidRPr="002E72A2">
              <w:rPr>
                <w:rFonts w:ascii="Calibri" w:eastAsia="Times New Roman" w:hAnsi="Calibri" w:cs="Calibri"/>
                <w:color w:val="556062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2E72A2" w:rsidRPr="004712AE" w:rsidRDefault="002E72A2" w:rsidP="00F16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</w:pPr>
            <w:r w:rsidRPr="004712AE">
              <w:rPr>
                <w:rFonts w:ascii="Calibri" w:eastAsia="Times New Roman" w:hAnsi="Calibri" w:cs="Calibri"/>
                <w:color w:val="556062"/>
                <w:sz w:val="20"/>
                <w:szCs w:val="20"/>
              </w:rPr>
              <w:t>M</w:t>
            </w:r>
          </w:p>
        </w:tc>
      </w:tr>
    </w:tbl>
    <w:p w:rsidR="00BF4E2C" w:rsidRDefault="00BF4E2C" w:rsidP="00DA057E">
      <w:pPr>
        <w:rPr>
          <w:lang w:val="en-GB"/>
        </w:rPr>
      </w:pPr>
    </w:p>
    <w:p w:rsidR="00BF4E2C" w:rsidRDefault="00BF4E2C" w:rsidP="00DA057E">
      <w:pPr>
        <w:rPr>
          <w:lang w:val="en-GB"/>
        </w:rPr>
      </w:pPr>
    </w:p>
    <w:p w:rsidR="00BF4E2C" w:rsidRDefault="00BF4E2C" w:rsidP="00DA057E">
      <w:pPr>
        <w:rPr>
          <w:lang w:val="en-GB"/>
        </w:rPr>
      </w:pPr>
    </w:p>
    <w:p w:rsidR="00BF4E2C" w:rsidRDefault="00BF4E2C" w:rsidP="00DA057E">
      <w:pPr>
        <w:rPr>
          <w:lang w:val="en-GB"/>
        </w:rPr>
      </w:pPr>
    </w:p>
    <w:p w:rsidR="00BF4E2C" w:rsidRPr="00BF4E2C" w:rsidRDefault="00BF4E2C" w:rsidP="00DA057E">
      <w:pPr>
        <w:rPr>
          <w:lang w:val="en-GB"/>
        </w:rPr>
      </w:pPr>
    </w:p>
    <w:p w:rsidR="001920A2" w:rsidRDefault="001920A2" w:rsidP="00035040">
      <w:pPr>
        <w:rPr>
          <w:lang w:val="en-GB"/>
        </w:rPr>
      </w:pPr>
      <w:bookmarkStart w:id="1" w:name="_GoBack"/>
      <w:bookmarkEnd w:id="1"/>
    </w:p>
    <w:p w:rsidR="00836A15" w:rsidRPr="00836A15" w:rsidRDefault="00836A15" w:rsidP="00836A15">
      <w:pPr>
        <w:pBdr>
          <w:bottom w:val="single" w:sz="24" w:space="1" w:color="006EAB"/>
        </w:pBdr>
        <w:rPr>
          <w:b/>
          <w:sz w:val="24"/>
          <w:lang w:val="en-GB"/>
        </w:rPr>
      </w:pPr>
      <w:r w:rsidRPr="00836A15">
        <w:rPr>
          <w:b/>
          <w:sz w:val="24"/>
          <w:lang w:val="en-GB"/>
        </w:rPr>
        <w:t>About Athens Exchange Group</w:t>
      </w:r>
    </w:p>
    <w:p w:rsidR="00836A15" w:rsidRPr="00836A15" w:rsidRDefault="00836A15" w:rsidP="00836A15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 xml:space="preserve">The </w:t>
      </w:r>
      <w:r w:rsidRPr="00836A15">
        <w:rPr>
          <w:b/>
          <w:color w:val="7F7F7F"/>
          <w:sz w:val="20"/>
          <w:szCs w:val="20"/>
          <w:shd w:val="clear" w:color="auto" w:fill="FFFFFF"/>
          <w:lang w:val="en-US"/>
        </w:rPr>
        <w:t>Athens Stock Exchange</w:t>
      </w:r>
      <w:r w:rsidRPr="00836A15">
        <w:rPr>
          <w:color w:val="7F7F7F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:rsidR="00836A15" w:rsidRPr="00836A15" w:rsidRDefault="00836A15" w:rsidP="00836A15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836A15">
        <w:rPr>
          <w:color w:val="7F7F7F"/>
          <w:sz w:val="20"/>
          <w:szCs w:val="20"/>
          <w:shd w:val="clear" w:color="auto" w:fill="FFFFFF"/>
          <w:lang w:val="en-US"/>
        </w:rPr>
        <w:t>Derivatives</w:t>
      </w:r>
      <w:r w:rsidRPr="00836A15">
        <w:rPr>
          <w:color w:val="7F7F7F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:rsidR="00836A15" w:rsidRPr="00836A15" w:rsidRDefault="00836A15" w:rsidP="00836A15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:rsidR="00836A15" w:rsidRPr="00836A15" w:rsidRDefault="00836A15" w:rsidP="00836A15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:rsidR="00836A15" w:rsidRPr="00836A15" w:rsidRDefault="00836A15" w:rsidP="00836A15">
      <w:pPr>
        <w:rPr>
          <w:color w:val="7F7F7F"/>
          <w:sz w:val="20"/>
          <w:szCs w:val="20"/>
          <w:shd w:val="clear" w:color="auto" w:fill="FFFFFF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:rsidR="00694BE1" w:rsidRPr="00836A15" w:rsidRDefault="00836A15" w:rsidP="00836A15">
      <w:pPr>
        <w:pBdr>
          <w:bottom w:val="single" w:sz="4" w:space="1" w:color="006EAB"/>
        </w:pBdr>
        <w:rPr>
          <w:sz w:val="20"/>
          <w:lang w:val="en-US"/>
        </w:rPr>
      </w:pPr>
      <w:r w:rsidRPr="00836A15">
        <w:rPr>
          <w:color w:val="7F7F7F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836A15">
        <w:rPr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836A15">
        <w:rPr>
          <w:color w:val="7F7F7F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87BB3">
      <w:headerReference w:type="default" r:id="rId10"/>
      <w:footerReference w:type="default" r:id="rId11"/>
      <w:pgSz w:w="11906" w:h="16838"/>
      <w:pgMar w:top="297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F9" w:rsidRDefault="00785CF9" w:rsidP="00035040">
      <w:r>
        <w:separator/>
      </w:r>
    </w:p>
  </w:endnote>
  <w:endnote w:type="continuationSeparator" w:id="0">
    <w:p w:rsidR="00785CF9" w:rsidRDefault="00785CF9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F9" w:rsidRPr="00AA5329" w:rsidRDefault="00785CF9" w:rsidP="00AA5329">
    <w:pPr>
      <w:pStyle w:val="PageNumberNew"/>
      <w:tabs>
        <w:tab w:val="clear" w:pos="8280"/>
        <w:tab w:val="right" w:pos="8370"/>
      </w:tabs>
      <w:jc w:val="left"/>
      <w:rPr>
        <w:rFonts w:asciiTheme="majorHAnsi" w:hAnsiTheme="majorHAnsi"/>
        <w:sz w:val="48"/>
        <w:szCs w:val="44"/>
        <w:lang w:val="en-US"/>
      </w:rPr>
    </w:pPr>
    <w:r w:rsidRPr="00E37984">
      <w:rPr>
        <w:sz w:val="14"/>
        <w:szCs w:val="14"/>
        <w:lang w:val="en-US"/>
      </w:rPr>
      <w:t>Athinon Avenue 110, 104 42, Athens</w:t>
    </w:r>
    <w:r>
      <w:rPr>
        <w:sz w:val="14"/>
        <w:szCs w:val="14"/>
        <w:lang w:val="en-US"/>
      </w:rPr>
      <w:t>, T +30 210-3366 800  F+30 210-3366101 www.athexgroup.gr</w:t>
    </w:r>
    <w:r w:rsidRPr="00AA5329">
      <w:rPr>
        <w:noProof/>
        <w:lang w:val="en-US" w:eastAsia="el-GR"/>
      </w:rPr>
      <w:t xml:space="preserve"> </w:t>
    </w:r>
    <w:r w:rsidRPr="00AA5329">
      <w:rPr>
        <w:lang w:val="en-US"/>
      </w:rPr>
      <w:tab/>
    </w:r>
    <w:sdt>
      <w:sdtPr>
        <w:id w:val="-1109964164"/>
        <w:docPartObj>
          <w:docPartGallery w:val="Page Numbers (Margins)"/>
          <w:docPartUnique/>
        </w:docPartObj>
      </w:sdtPr>
      <w:sdtEndPr/>
      <w:sdtContent>
        <w:sdt>
          <w:sdtPr>
            <w:id w:val="-816563463"/>
            <w:docPartObj>
              <w:docPartGallery w:val="Page Numbers (Margins)"/>
              <w:docPartUnique/>
            </w:docPartObj>
          </w:sdtPr>
          <w:sdtEndPr/>
          <w:sdtContent>
            <w:r w:rsidRPr="00ED2B58">
              <w:rPr>
                <w:rFonts w:eastAsiaTheme="minorEastAsia" w:cs="Times New Roman"/>
              </w:rPr>
              <w:fldChar w:fldCharType="begin"/>
            </w:r>
            <w:r w:rsidRPr="00AA5329">
              <w:rPr>
                <w:lang w:val="en-US"/>
              </w:rPr>
              <w:instrText xml:space="preserve"> PAGE   \* MERGEFORMAT </w:instrText>
            </w:r>
            <w:r w:rsidRPr="00ED2B58">
              <w:rPr>
                <w:rFonts w:eastAsiaTheme="minorEastAsia" w:cs="Times New Roman"/>
              </w:rPr>
              <w:fldChar w:fldCharType="separate"/>
            </w:r>
            <w:r w:rsidR="002E72A2">
              <w:rPr>
                <w:noProof/>
                <w:lang w:val="en-US"/>
              </w:rPr>
              <w:t>6</w:t>
            </w:r>
            <w:r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F9" w:rsidRDefault="00785CF9" w:rsidP="00035040">
      <w:r>
        <w:separator/>
      </w:r>
    </w:p>
  </w:footnote>
  <w:footnote w:type="continuationSeparator" w:id="0">
    <w:p w:rsidR="00785CF9" w:rsidRDefault="00785CF9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CF9" w:rsidRDefault="00785CF9" w:rsidP="00035040">
    <w:pPr>
      <w:pStyle w:val="Header"/>
    </w:pPr>
    <w:r>
      <w:rPr>
        <w:noProof/>
        <w:lang w:val="en-US"/>
      </w:rPr>
      <w:drawing>
        <wp:inline distT="0" distB="0" distL="0" distR="0" wp14:anchorId="72490C30" wp14:editId="77658791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4EFD"/>
    <w:rsid w:val="00124F11"/>
    <w:rsid w:val="00127070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5AC9"/>
    <w:rsid w:val="002339A1"/>
    <w:rsid w:val="00244E4F"/>
    <w:rsid w:val="0024581F"/>
    <w:rsid w:val="00264191"/>
    <w:rsid w:val="002741D2"/>
    <w:rsid w:val="002761DE"/>
    <w:rsid w:val="00286C6D"/>
    <w:rsid w:val="00286DF5"/>
    <w:rsid w:val="00294C44"/>
    <w:rsid w:val="0029787B"/>
    <w:rsid w:val="002A0BA8"/>
    <w:rsid w:val="002A13F0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FC3"/>
    <w:rsid w:val="003233F8"/>
    <w:rsid w:val="00336963"/>
    <w:rsid w:val="00347F71"/>
    <w:rsid w:val="00353907"/>
    <w:rsid w:val="00365A2E"/>
    <w:rsid w:val="003719A3"/>
    <w:rsid w:val="00371ADF"/>
    <w:rsid w:val="00382646"/>
    <w:rsid w:val="003826A0"/>
    <w:rsid w:val="003A7BB6"/>
    <w:rsid w:val="003B59E6"/>
    <w:rsid w:val="003B743A"/>
    <w:rsid w:val="003C014D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510B9"/>
    <w:rsid w:val="00454879"/>
    <w:rsid w:val="00471EEA"/>
    <w:rsid w:val="004772A1"/>
    <w:rsid w:val="00483890"/>
    <w:rsid w:val="0049172A"/>
    <w:rsid w:val="0049614A"/>
    <w:rsid w:val="004A2A15"/>
    <w:rsid w:val="004A6465"/>
    <w:rsid w:val="004B35D8"/>
    <w:rsid w:val="004C37C2"/>
    <w:rsid w:val="004D0B91"/>
    <w:rsid w:val="004D71F4"/>
    <w:rsid w:val="004D7601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33E54"/>
    <w:rsid w:val="00641EF4"/>
    <w:rsid w:val="00656955"/>
    <w:rsid w:val="00657012"/>
    <w:rsid w:val="00676AE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40AE"/>
    <w:rsid w:val="007D6F21"/>
    <w:rsid w:val="007E06C3"/>
    <w:rsid w:val="007E0A77"/>
    <w:rsid w:val="007E522E"/>
    <w:rsid w:val="007F239C"/>
    <w:rsid w:val="00800012"/>
    <w:rsid w:val="00800F50"/>
    <w:rsid w:val="00802927"/>
    <w:rsid w:val="008068DE"/>
    <w:rsid w:val="00815956"/>
    <w:rsid w:val="00816DE0"/>
    <w:rsid w:val="00816FD9"/>
    <w:rsid w:val="00820504"/>
    <w:rsid w:val="00834A10"/>
    <w:rsid w:val="00836A15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28AC"/>
    <w:rsid w:val="008E42D3"/>
    <w:rsid w:val="008F07E1"/>
    <w:rsid w:val="00922071"/>
    <w:rsid w:val="009341DB"/>
    <w:rsid w:val="00943126"/>
    <w:rsid w:val="00943160"/>
    <w:rsid w:val="00953189"/>
    <w:rsid w:val="00954780"/>
    <w:rsid w:val="009635A7"/>
    <w:rsid w:val="00972192"/>
    <w:rsid w:val="009824B4"/>
    <w:rsid w:val="00984A7F"/>
    <w:rsid w:val="009A3855"/>
    <w:rsid w:val="009C01A1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770CB"/>
    <w:rsid w:val="00A837EB"/>
    <w:rsid w:val="00A84E57"/>
    <w:rsid w:val="00A91E69"/>
    <w:rsid w:val="00A9361E"/>
    <w:rsid w:val="00AA5329"/>
    <w:rsid w:val="00AB75EA"/>
    <w:rsid w:val="00AC310F"/>
    <w:rsid w:val="00AC55B0"/>
    <w:rsid w:val="00AD55D5"/>
    <w:rsid w:val="00AE250A"/>
    <w:rsid w:val="00AF0026"/>
    <w:rsid w:val="00AF6F21"/>
    <w:rsid w:val="00B03981"/>
    <w:rsid w:val="00B1420F"/>
    <w:rsid w:val="00B24A0A"/>
    <w:rsid w:val="00B30C50"/>
    <w:rsid w:val="00B40A17"/>
    <w:rsid w:val="00B534BE"/>
    <w:rsid w:val="00B5423C"/>
    <w:rsid w:val="00B5605E"/>
    <w:rsid w:val="00B70EAA"/>
    <w:rsid w:val="00B7599D"/>
    <w:rsid w:val="00B777C4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14480"/>
    <w:rsid w:val="00D3151D"/>
    <w:rsid w:val="00D467C8"/>
    <w:rsid w:val="00D51872"/>
    <w:rsid w:val="00D6548A"/>
    <w:rsid w:val="00D758CE"/>
    <w:rsid w:val="00D8379C"/>
    <w:rsid w:val="00D958F5"/>
    <w:rsid w:val="00DA057E"/>
    <w:rsid w:val="00DA5688"/>
    <w:rsid w:val="00DA6EFF"/>
    <w:rsid w:val="00DB13F9"/>
    <w:rsid w:val="00DB548B"/>
    <w:rsid w:val="00DC07FA"/>
    <w:rsid w:val="00DC12BD"/>
    <w:rsid w:val="00DC21BA"/>
    <w:rsid w:val="00DC26AA"/>
    <w:rsid w:val="00DD21AB"/>
    <w:rsid w:val="00DE0262"/>
    <w:rsid w:val="00DE52C5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;"/>
  <w14:docId w14:val="419D19C4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15997622-44CD-4B7F-A467-2B2754AF78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Andrianopoulou, Stavroula</cp:lastModifiedBy>
  <cp:revision>40</cp:revision>
  <cp:lastPrinted>2017-05-02T09:59:00Z</cp:lastPrinted>
  <dcterms:created xsi:type="dcterms:W3CDTF">2017-10-04T14:51:00Z</dcterms:created>
  <dcterms:modified xsi:type="dcterms:W3CDTF">2021-01-04T07:45:00Z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uid="a759ed69-6ff0-492f-9e90-8239c39e63f6" value="" /&gt;&lt;element uid="090811a3-192b-4e3c-ab51-fd4c04da1cf0" value="" /&gt;&lt;/sisl&gt;</vt:lpwstr>
  </property>
  <property fmtid="{D5CDD505-2E9C-101B-9397-08002B2CF9AE}" pid="6" name="bjDocumentSecurityLabel">
    <vt:lpwstr>ΔΗΜΟΣΙΟ (PUBLIC)</vt:lpwstr>
  </property>
</Properties>
</file>