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46" w:rsidRDefault="00686946" w:rsidP="00686946"/>
    <w:p w:rsidR="00AF066A" w:rsidRPr="00AF066A" w:rsidRDefault="00AF066A" w:rsidP="00AF066A">
      <w:pPr>
        <w:spacing w:after="0" w:line="360" w:lineRule="auto"/>
        <w:jc w:val="right"/>
        <w:outlineLvl w:val="0"/>
        <w:rPr>
          <w:rFonts w:ascii="Verdana" w:hAnsi="Verdana" w:cs="Tahoma"/>
          <w:sz w:val="20"/>
          <w:szCs w:val="20"/>
          <w:lang w:val="en-US" w:eastAsia="el-GR"/>
        </w:rPr>
      </w:pPr>
      <w:r w:rsidRPr="00AF066A">
        <w:rPr>
          <w:rFonts w:ascii="Verdana" w:hAnsi="Verdana" w:cs="Tahoma"/>
          <w:sz w:val="20"/>
          <w:szCs w:val="20"/>
          <w:lang w:val="en-US" w:eastAsia="el-GR"/>
        </w:rPr>
        <w:t xml:space="preserve">Athens, April </w:t>
      </w:r>
      <w:r w:rsidRPr="00AF066A">
        <w:rPr>
          <w:rFonts w:ascii="Verdana" w:hAnsi="Verdana" w:cs="Tahoma"/>
          <w:sz w:val="20"/>
          <w:szCs w:val="20"/>
          <w:lang w:val="en-US" w:eastAsia="el-GR"/>
        </w:rPr>
        <w:t>29</w:t>
      </w:r>
      <w:r>
        <w:rPr>
          <w:rFonts w:ascii="Verdana" w:hAnsi="Verdana" w:cs="Tahoma"/>
          <w:sz w:val="20"/>
          <w:szCs w:val="20"/>
          <w:vertAlign w:val="superscript"/>
          <w:lang w:val="en-US" w:eastAsia="el-GR"/>
        </w:rPr>
        <w:t>th</w:t>
      </w:r>
      <w:r w:rsidRPr="00AF066A">
        <w:rPr>
          <w:rFonts w:ascii="Verdana" w:hAnsi="Verdana" w:cs="Tahoma"/>
          <w:sz w:val="20"/>
          <w:szCs w:val="20"/>
          <w:lang w:val="en-US" w:eastAsia="el-GR"/>
        </w:rPr>
        <w:t>, 2022</w:t>
      </w:r>
    </w:p>
    <w:p w:rsidR="00AF066A" w:rsidRPr="00AF066A" w:rsidRDefault="00AF066A" w:rsidP="00AF066A">
      <w:pPr>
        <w:jc w:val="right"/>
        <w:rPr>
          <w:lang w:val="en-US"/>
        </w:rPr>
      </w:pPr>
    </w:p>
    <w:p w:rsidR="00AF066A" w:rsidRPr="00AF066A" w:rsidRDefault="00AF066A" w:rsidP="00686946">
      <w:pPr>
        <w:rPr>
          <w:lang w:val="en-US"/>
        </w:rPr>
      </w:pPr>
    </w:p>
    <w:p w:rsidR="00686946" w:rsidRPr="00686946" w:rsidRDefault="00686946" w:rsidP="00944AA1">
      <w:pPr>
        <w:jc w:val="center"/>
        <w:rPr>
          <w:b/>
          <w:sz w:val="24"/>
          <w:szCs w:val="24"/>
          <w:lang w:val="en-US"/>
        </w:rPr>
      </w:pPr>
      <w:r>
        <w:rPr>
          <w:b/>
          <w:sz w:val="24"/>
          <w:szCs w:val="24"/>
          <w:lang w:val="en-US"/>
        </w:rPr>
        <w:t>Financial Results</w:t>
      </w:r>
      <w:r w:rsidRPr="00686946">
        <w:rPr>
          <w:b/>
          <w:sz w:val="24"/>
          <w:szCs w:val="24"/>
          <w:lang w:val="en-US"/>
        </w:rPr>
        <w:t xml:space="preserve"> 2021</w:t>
      </w:r>
    </w:p>
    <w:p w:rsidR="00944AA1" w:rsidRPr="00944AA1" w:rsidRDefault="00944AA1" w:rsidP="00944AA1">
      <w:pPr>
        <w:pStyle w:val="ListParagraph"/>
        <w:ind w:left="0"/>
        <w:jc w:val="center"/>
        <w:rPr>
          <w:b/>
          <w:sz w:val="21"/>
          <w:szCs w:val="21"/>
          <w:lang w:val="en-US"/>
        </w:rPr>
      </w:pPr>
      <w:r>
        <w:rPr>
          <w:b/>
          <w:sz w:val="21"/>
          <w:szCs w:val="21"/>
          <w:lang w:val="en-US"/>
        </w:rPr>
        <w:t>New Contract with the Greek State</w:t>
      </w:r>
      <w:r w:rsidRPr="00944AA1">
        <w:rPr>
          <w:b/>
          <w:sz w:val="21"/>
          <w:szCs w:val="21"/>
          <w:lang w:val="en-US"/>
        </w:rPr>
        <w:t xml:space="preserve"> and significant profits for 2021</w:t>
      </w:r>
    </w:p>
    <w:p w:rsidR="00686946" w:rsidRPr="00686946" w:rsidRDefault="00944AA1" w:rsidP="00944AA1">
      <w:pPr>
        <w:pStyle w:val="ListParagraph"/>
        <w:ind w:left="0"/>
        <w:jc w:val="center"/>
        <w:rPr>
          <w:lang w:val="en-US"/>
        </w:rPr>
      </w:pPr>
      <w:r>
        <w:rPr>
          <w:b/>
          <w:sz w:val="21"/>
          <w:szCs w:val="21"/>
          <w:lang w:val="en-US"/>
        </w:rPr>
        <w:t>Acceleration of</w:t>
      </w:r>
      <w:r w:rsidRPr="00944AA1">
        <w:rPr>
          <w:b/>
          <w:sz w:val="21"/>
          <w:szCs w:val="21"/>
          <w:lang w:val="en-US"/>
        </w:rPr>
        <w:t xml:space="preserve"> the transformation and the investment plan in 2022</w:t>
      </w:r>
    </w:p>
    <w:p w:rsidR="00686946" w:rsidRPr="00F73506" w:rsidRDefault="00944AA1" w:rsidP="00686946">
      <w:pPr>
        <w:spacing w:after="0" w:line="276" w:lineRule="auto"/>
        <w:jc w:val="both"/>
        <w:rPr>
          <w:rFonts w:ascii="Calibri" w:hAnsi="Calibri" w:cs="Arial"/>
          <w:b/>
          <w:bCs/>
          <w:sz w:val="20"/>
          <w:szCs w:val="20"/>
          <w:lang w:val="en-US" w:eastAsia="el-GR"/>
        </w:rPr>
      </w:pPr>
      <w:r w:rsidRPr="00F73506">
        <w:rPr>
          <w:rFonts w:ascii="Calibri" w:hAnsi="Calibri" w:cs="Arial"/>
          <w:b/>
          <w:bCs/>
          <w:sz w:val="20"/>
          <w:szCs w:val="20"/>
          <w:lang w:val="en-US" w:eastAsia="el-GR"/>
        </w:rPr>
        <w:t>F</w:t>
      </w:r>
      <w:r w:rsidR="00686946" w:rsidRPr="00F73506">
        <w:rPr>
          <w:rFonts w:ascii="Calibri" w:hAnsi="Calibri" w:cs="Arial"/>
          <w:b/>
          <w:bCs/>
          <w:sz w:val="20"/>
          <w:szCs w:val="20"/>
          <w:lang w:val="en-US" w:eastAsia="el-GR"/>
        </w:rPr>
        <w:t>iscal year 2021 was a milestone year for the Company, with the renewal of the exclusive right of water supply and sewerage until 2040</w:t>
      </w:r>
      <w:r w:rsidR="00686946" w:rsidRPr="00686946">
        <w:rPr>
          <w:rFonts w:ascii="Calibri" w:hAnsi="Calibri" w:cs="Arial"/>
          <w:bCs/>
          <w:sz w:val="20"/>
          <w:szCs w:val="20"/>
          <w:lang w:val="en-US" w:eastAsia="el-GR"/>
        </w:rPr>
        <w:t xml:space="preserve">, in the context of the final settlement of chronic outstanding issues with the Greek State, </w:t>
      </w:r>
      <w:r w:rsidR="00686946" w:rsidRPr="00F73506">
        <w:rPr>
          <w:rFonts w:ascii="Calibri" w:hAnsi="Calibri" w:cs="Arial"/>
          <w:b/>
          <w:bCs/>
          <w:sz w:val="20"/>
          <w:szCs w:val="20"/>
          <w:lang w:val="en-US" w:eastAsia="el-GR"/>
        </w:rPr>
        <w:t>ensuring the viability of the Company and the bases for its further development.</w:t>
      </w:r>
      <w:r w:rsidR="00686946" w:rsidRPr="00686946">
        <w:rPr>
          <w:rFonts w:ascii="Calibri" w:hAnsi="Calibri" w:cs="Arial"/>
          <w:bCs/>
          <w:sz w:val="20"/>
          <w:szCs w:val="20"/>
          <w:lang w:val="en-US" w:eastAsia="el-GR"/>
        </w:rPr>
        <w:t xml:space="preserve"> The Company in 2022, responding to the new conditions created by the increased energy costs and the current geopolitical crisis, and in order to </w:t>
      </w:r>
      <w:r>
        <w:rPr>
          <w:rFonts w:ascii="Calibri" w:hAnsi="Calibri" w:cs="Arial"/>
          <w:bCs/>
          <w:sz w:val="20"/>
          <w:szCs w:val="20"/>
          <w:lang w:val="en-US" w:eastAsia="el-GR"/>
        </w:rPr>
        <w:t>restrain</w:t>
      </w:r>
      <w:r w:rsidR="00686946" w:rsidRPr="00686946">
        <w:rPr>
          <w:rFonts w:ascii="Calibri" w:hAnsi="Calibri" w:cs="Arial"/>
          <w:bCs/>
          <w:sz w:val="20"/>
          <w:szCs w:val="20"/>
          <w:lang w:val="en-US" w:eastAsia="el-GR"/>
        </w:rPr>
        <w:t xml:space="preserve"> its tariffs, will proceed to actions to </w:t>
      </w:r>
      <w:r w:rsidR="00F73506">
        <w:rPr>
          <w:rFonts w:ascii="Calibri" w:hAnsi="Calibri" w:cs="Arial"/>
          <w:bCs/>
          <w:sz w:val="20"/>
          <w:szCs w:val="20"/>
          <w:lang w:val="en-US" w:eastAsia="el-GR"/>
        </w:rPr>
        <w:t>streamline</w:t>
      </w:r>
      <w:r w:rsidR="00686946" w:rsidRPr="00686946">
        <w:rPr>
          <w:rFonts w:ascii="Calibri" w:hAnsi="Calibri" w:cs="Arial"/>
          <w:bCs/>
          <w:sz w:val="20"/>
          <w:szCs w:val="20"/>
          <w:lang w:val="en-US" w:eastAsia="el-GR"/>
        </w:rPr>
        <w:t xml:space="preserve"> its operating costs, </w:t>
      </w:r>
      <w:r w:rsidR="0009211A" w:rsidRPr="0009211A">
        <w:rPr>
          <w:rFonts w:ascii="Calibri" w:hAnsi="Calibri" w:cs="Arial"/>
          <w:bCs/>
          <w:sz w:val="20"/>
          <w:szCs w:val="20"/>
          <w:lang w:val="en-US" w:eastAsia="el-GR"/>
        </w:rPr>
        <w:t xml:space="preserve">while advancing its transformation projects and </w:t>
      </w:r>
      <w:r w:rsidR="0009211A" w:rsidRPr="00F73506">
        <w:rPr>
          <w:rFonts w:ascii="Calibri" w:hAnsi="Calibri" w:cs="Arial"/>
          <w:b/>
          <w:bCs/>
          <w:sz w:val="20"/>
          <w:szCs w:val="20"/>
          <w:lang w:val="en-US" w:eastAsia="el-GR"/>
        </w:rPr>
        <w:t>accelerating its investment plan, focusing on the digital and green transition.</w:t>
      </w:r>
    </w:p>
    <w:p w:rsidR="00686946" w:rsidRPr="00686946" w:rsidRDefault="00686946" w:rsidP="00686946">
      <w:pPr>
        <w:spacing w:after="0" w:line="276" w:lineRule="auto"/>
        <w:jc w:val="both"/>
        <w:rPr>
          <w:rFonts w:ascii="Calibri" w:hAnsi="Calibri" w:cs="Arial"/>
          <w:bCs/>
          <w:sz w:val="20"/>
          <w:szCs w:val="20"/>
          <w:lang w:val="en-US" w:eastAsia="el-GR"/>
        </w:rPr>
      </w:pPr>
    </w:p>
    <w:p w:rsidR="00686946" w:rsidRDefault="00686946" w:rsidP="00686946">
      <w:pPr>
        <w:spacing w:after="0" w:line="276" w:lineRule="auto"/>
        <w:jc w:val="both"/>
        <w:rPr>
          <w:rFonts w:ascii="Calibri" w:hAnsi="Calibri" w:cs="Arial"/>
          <w:bCs/>
          <w:sz w:val="20"/>
          <w:szCs w:val="20"/>
          <w:lang w:val="en-US" w:eastAsia="el-GR"/>
        </w:rPr>
      </w:pPr>
      <w:r w:rsidRPr="00686946">
        <w:rPr>
          <w:rFonts w:ascii="Calibri" w:hAnsi="Calibri" w:cs="Arial"/>
          <w:bCs/>
          <w:sz w:val="20"/>
          <w:szCs w:val="20"/>
          <w:lang w:val="en-US" w:eastAsia="el-GR"/>
        </w:rPr>
        <w:t>The signing of the new contract with the Greek State, which has retroactive effect from 1/1/2021, places the Company in a new regulatory framework under J</w:t>
      </w:r>
      <w:r>
        <w:rPr>
          <w:rFonts w:ascii="Calibri" w:hAnsi="Calibri" w:cs="Arial"/>
          <w:bCs/>
          <w:sz w:val="20"/>
          <w:szCs w:val="20"/>
          <w:lang w:val="en-US" w:eastAsia="el-GR"/>
        </w:rPr>
        <w:t>.</w:t>
      </w:r>
      <w:r w:rsidRPr="00686946">
        <w:rPr>
          <w:rFonts w:ascii="Calibri" w:hAnsi="Calibri" w:cs="Arial"/>
          <w:bCs/>
          <w:sz w:val="20"/>
          <w:szCs w:val="20"/>
          <w:lang w:val="en-US" w:eastAsia="el-GR"/>
        </w:rPr>
        <w:t>M</w:t>
      </w:r>
      <w:r>
        <w:rPr>
          <w:rFonts w:ascii="Calibri" w:hAnsi="Calibri" w:cs="Arial"/>
          <w:bCs/>
          <w:sz w:val="20"/>
          <w:szCs w:val="20"/>
          <w:lang w:val="en-US" w:eastAsia="el-GR"/>
        </w:rPr>
        <w:t>.</w:t>
      </w:r>
      <w:r w:rsidR="00A27E71">
        <w:rPr>
          <w:rFonts w:ascii="Calibri" w:hAnsi="Calibri" w:cs="Arial"/>
          <w:bCs/>
          <w:sz w:val="20"/>
          <w:szCs w:val="20"/>
          <w:lang w:val="en-US" w:eastAsia="el-GR"/>
        </w:rPr>
        <w:t>D</w:t>
      </w:r>
      <w:r>
        <w:rPr>
          <w:rFonts w:ascii="Calibri" w:hAnsi="Calibri" w:cs="Arial"/>
          <w:bCs/>
          <w:sz w:val="20"/>
          <w:szCs w:val="20"/>
          <w:lang w:val="en-US" w:eastAsia="el-GR"/>
        </w:rPr>
        <w:t>.</w:t>
      </w:r>
      <w:r w:rsidRPr="00686946">
        <w:rPr>
          <w:rFonts w:ascii="Calibri" w:hAnsi="Calibri" w:cs="Arial"/>
          <w:bCs/>
          <w:sz w:val="20"/>
          <w:szCs w:val="20"/>
          <w:lang w:val="en-US" w:eastAsia="el-GR"/>
        </w:rPr>
        <w:t xml:space="preserve"> 135275/2017, Government Gazette 1751 / </w:t>
      </w:r>
      <w:r w:rsidRPr="00686946">
        <w:rPr>
          <w:rFonts w:ascii="Calibri" w:hAnsi="Calibri" w:cs="Arial"/>
          <w:bCs/>
          <w:sz w:val="20"/>
          <w:szCs w:val="20"/>
          <w:lang w:eastAsia="el-GR"/>
        </w:rPr>
        <w:t>Β</w:t>
      </w:r>
      <w:r w:rsidRPr="00686946">
        <w:rPr>
          <w:rFonts w:ascii="Calibri" w:hAnsi="Calibri" w:cs="Arial"/>
          <w:bCs/>
          <w:sz w:val="20"/>
          <w:szCs w:val="20"/>
          <w:lang w:val="en-US" w:eastAsia="el-GR"/>
        </w:rPr>
        <w:t xml:space="preserve"> / 22-5-2017 "</w:t>
      </w:r>
      <w:r w:rsidRPr="00686946">
        <w:rPr>
          <w:rFonts w:ascii="Calibri" w:hAnsi="Calibri" w:cs="Arial"/>
          <w:bCs/>
          <w:i/>
          <w:sz w:val="20"/>
          <w:szCs w:val="20"/>
          <w:lang w:val="en-US" w:eastAsia="el-GR"/>
        </w:rPr>
        <w:t xml:space="preserve">Approval of general water service </w:t>
      </w:r>
      <w:r>
        <w:rPr>
          <w:rFonts w:ascii="Calibri" w:hAnsi="Calibri" w:cs="Arial"/>
          <w:bCs/>
          <w:i/>
          <w:sz w:val="20"/>
          <w:szCs w:val="20"/>
          <w:lang w:val="en-US" w:eastAsia="el-GR"/>
        </w:rPr>
        <w:t>costing</w:t>
      </w:r>
      <w:r w:rsidRPr="00686946">
        <w:rPr>
          <w:rFonts w:ascii="Calibri" w:hAnsi="Calibri" w:cs="Arial"/>
          <w:bCs/>
          <w:i/>
          <w:sz w:val="20"/>
          <w:szCs w:val="20"/>
          <w:lang w:val="en-US" w:eastAsia="el-GR"/>
        </w:rPr>
        <w:t xml:space="preserve"> and pricing rules. </w:t>
      </w:r>
      <w:r w:rsidRPr="00A27E71">
        <w:rPr>
          <w:rFonts w:ascii="Calibri" w:hAnsi="Calibri" w:cs="Arial"/>
          <w:bCs/>
          <w:i/>
          <w:sz w:val="20"/>
          <w:szCs w:val="20"/>
          <w:lang w:val="en-US" w:eastAsia="el-GR"/>
        </w:rPr>
        <w:t>Method and procedures for recovering the cost of water services in its various uses</w:t>
      </w:r>
      <w:r w:rsidRPr="00A27E71">
        <w:rPr>
          <w:rFonts w:ascii="Calibri" w:hAnsi="Calibri" w:cs="Arial"/>
          <w:bCs/>
          <w:sz w:val="20"/>
          <w:szCs w:val="20"/>
          <w:lang w:val="en-US" w:eastAsia="el-GR"/>
        </w:rPr>
        <w:t>".</w:t>
      </w:r>
    </w:p>
    <w:p w:rsidR="0009211A" w:rsidRDefault="0009211A" w:rsidP="00686946">
      <w:pPr>
        <w:spacing w:after="0" w:line="276" w:lineRule="auto"/>
        <w:jc w:val="both"/>
        <w:rPr>
          <w:rFonts w:ascii="Calibri" w:hAnsi="Calibri" w:cs="Arial"/>
          <w:bCs/>
          <w:sz w:val="20"/>
          <w:szCs w:val="20"/>
          <w:lang w:val="en-US" w:eastAsia="el-GR"/>
        </w:rPr>
      </w:pPr>
    </w:p>
    <w:p w:rsidR="00686946" w:rsidRDefault="00686946" w:rsidP="00686946">
      <w:pPr>
        <w:spacing w:after="0" w:line="276" w:lineRule="auto"/>
        <w:jc w:val="both"/>
        <w:rPr>
          <w:rFonts w:ascii="Calibri" w:hAnsi="Calibri" w:cs="Arial"/>
          <w:bCs/>
          <w:sz w:val="20"/>
          <w:szCs w:val="20"/>
          <w:lang w:val="en-US" w:eastAsia="el-GR"/>
        </w:rPr>
      </w:pPr>
      <w:r w:rsidRPr="00686946">
        <w:rPr>
          <w:rFonts w:ascii="Calibri" w:hAnsi="Calibri" w:cs="Arial"/>
          <w:bCs/>
          <w:sz w:val="20"/>
          <w:szCs w:val="20"/>
          <w:lang w:val="en-US" w:eastAsia="el-GR"/>
        </w:rPr>
        <w:t>The purpose of this J</w:t>
      </w:r>
      <w:r>
        <w:rPr>
          <w:rFonts w:ascii="Calibri" w:hAnsi="Calibri" w:cs="Arial"/>
          <w:bCs/>
          <w:sz w:val="20"/>
          <w:szCs w:val="20"/>
          <w:lang w:val="en-US" w:eastAsia="el-GR"/>
        </w:rPr>
        <w:t>.</w:t>
      </w:r>
      <w:r w:rsidRPr="00686946">
        <w:rPr>
          <w:rFonts w:ascii="Calibri" w:hAnsi="Calibri" w:cs="Arial"/>
          <w:bCs/>
          <w:sz w:val="20"/>
          <w:szCs w:val="20"/>
          <w:lang w:val="en-US" w:eastAsia="el-GR"/>
        </w:rPr>
        <w:t>M</w:t>
      </w:r>
      <w:r>
        <w:rPr>
          <w:rFonts w:ascii="Calibri" w:hAnsi="Calibri" w:cs="Arial"/>
          <w:bCs/>
          <w:sz w:val="20"/>
          <w:szCs w:val="20"/>
          <w:lang w:val="en-US" w:eastAsia="el-GR"/>
        </w:rPr>
        <w:t>.D.</w:t>
      </w:r>
      <w:r w:rsidRPr="00686946">
        <w:rPr>
          <w:rFonts w:ascii="Calibri" w:hAnsi="Calibri" w:cs="Arial"/>
          <w:bCs/>
          <w:sz w:val="20"/>
          <w:szCs w:val="20"/>
          <w:lang w:val="en-US" w:eastAsia="el-GR"/>
        </w:rPr>
        <w:t xml:space="preserve"> is the approval of general rules for costing and pricing of water services for various uses and rules and measures for the improvement of these services, as well as the definition of procedures and methods for recovering the costs of these services, including environmental costs and water resource costs.</w:t>
      </w:r>
    </w:p>
    <w:p w:rsidR="00686946" w:rsidRPr="00686946" w:rsidRDefault="00686946" w:rsidP="00686946">
      <w:pPr>
        <w:spacing w:after="0" w:line="276" w:lineRule="auto"/>
        <w:jc w:val="both"/>
        <w:rPr>
          <w:rFonts w:ascii="Calibri" w:hAnsi="Calibri" w:cs="Arial"/>
          <w:bCs/>
          <w:sz w:val="20"/>
          <w:szCs w:val="20"/>
          <w:lang w:val="en-US" w:eastAsia="el-GR"/>
        </w:rPr>
      </w:pPr>
    </w:p>
    <w:p w:rsidR="0009211A" w:rsidRDefault="0009211A" w:rsidP="00686946">
      <w:pPr>
        <w:spacing w:after="0" w:line="276" w:lineRule="auto"/>
        <w:jc w:val="both"/>
        <w:rPr>
          <w:rFonts w:ascii="Calibri" w:hAnsi="Calibri" w:cs="Arial"/>
          <w:bCs/>
          <w:sz w:val="20"/>
          <w:szCs w:val="20"/>
          <w:lang w:val="en-US" w:eastAsia="el-GR"/>
        </w:rPr>
      </w:pPr>
      <w:r>
        <w:rPr>
          <w:rFonts w:ascii="Calibri" w:hAnsi="Calibri" w:cs="Arial"/>
          <w:bCs/>
          <w:sz w:val="20"/>
          <w:szCs w:val="20"/>
          <w:lang w:val="en-US" w:eastAsia="el-GR"/>
        </w:rPr>
        <w:t>Via a</w:t>
      </w:r>
      <w:r w:rsidR="00686946" w:rsidRPr="00686946">
        <w:rPr>
          <w:rFonts w:ascii="Calibri" w:hAnsi="Calibri" w:cs="Arial"/>
          <w:bCs/>
          <w:sz w:val="20"/>
          <w:szCs w:val="20"/>
          <w:lang w:val="en-US" w:eastAsia="el-GR"/>
        </w:rPr>
        <w:t xml:space="preserve"> letter, the Ministry of Environment and Energy, as the competent authority for the implementation of the general rules of costing and pricing of water services, informed the Company that an independent regulatory authority will be established for this purpose.</w:t>
      </w:r>
      <w:r>
        <w:rPr>
          <w:rFonts w:ascii="Calibri" w:hAnsi="Calibri" w:cs="Arial"/>
          <w:sz w:val="20"/>
          <w:szCs w:val="24"/>
          <w:lang w:val="en-US" w:eastAsia="el-GR"/>
        </w:rPr>
        <w:t xml:space="preserve"> </w:t>
      </w:r>
      <w:r>
        <w:rPr>
          <w:rFonts w:ascii="Calibri" w:hAnsi="Calibri" w:cs="Arial"/>
          <w:bCs/>
          <w:sz w:val="20"/>
          <w:szCs w:val="20"/>
          <w:lang w:val="en-US" w:eastAsia="el-GR"/>
        </w:rPr>
        <w:t>It</w:t>
      </w:r>
      <w:r w:rsidR="00686946" w:rsidRPr="00686946">
        <w:rPr>
          <w:rFonts w:ascii="Calibri" w:hAnsi="Calibri" w:cs="Arial"/>
          <w:bCs/>
          <w:sz w:val="20"/>
          <w:szCs w:val="20"/>
          <w:lang w:val="en-US" w:eastAsia="el-GR"/>
        </w:rPr>
        <w:t xml:space="preserve"> is a reform with a timeframe for the adoption of the relevant legislative framework at the end of 2022. The operation of the Authority will </w:t>
      </w:r>
      <w:r w:rsidR="00DE2399">
        <w:rPr>
          <w:rFonts w:ascii="Calibri" w:hAnsi="Calibri" w:cs="Arial"/>
          <w:bCs/>
          <w:sz w:val="20"/>
          <w:szCs w:val="20"/>
          <w:lang w:val="en-US" w:eastAsia="el-GR"/>
        </w:rPr>
        <w:t>be based on Directive 2000/60</w:t>
      </w:r>
      <w:bookmarkStart w:id="0" w:name="_GoBack"/>
      <w:bookmarkEnd w:id="0"/>
      <w:r w:rsidR="00686946">
        <w:rPr>
          <w:rFonts w:ascii="Calibri" w:hAnsi="Calibri" w:cs="Arial"/>
          <w:bCs/>
          <w:sz w:val="20"/>
          <w:szCs w:val="20"/>
          <w:lang w:val="en-US" w:eastAsia="el-GR"/>
        </w:rPr>
        <w:t>/</w:t>
      </w:r>
      <w:r w:rsidR="00686946" w:rsidRPr="00686946">
        <w:rPr>
          <w:rFonts w:ascii="Calibri" w:hAnsi="Calibri" w:cs="Arial"/>
          <w:bCs/>
          <w:sz w:val="20"/>
          <w:szCs w:val="20"/>
          <w:lang w:val="en-US" w:eastAsia="el-GR"/>
        </w:rPr>
        <w:t xml:space="preserve">EC, as incorporated into national law. </w:t>
      </w:r>
    </w:p>
    <w:p w:rsidR="0009211A" w:rsidRDefault="0009211A" w:rsidP="00686946">
      <w:pPr>
        <w:spacing w:after="0" w:line="276" w:lineRule="auto"/>
        <w:jc w:val="both"/>
        <w:rPr>
          <w:rFonts w:ascii="Calibri" w:hAnsi="Calibri" w:cs="Arial"/>
          <w:bCs/>
          <w:sz w:val="20"/>
          <w:szCs w:val="20"/>
          <w:lang w:val="en-US" w:eastAsia="el-GR"/>
        </w:rPr>
      </w:pPr>
    </w:p>
    <w:p w:rsidR="00686946" w:rsidRDefault="00686946" w:rsidP="00686946">
      <w:pPr>
        <w:spacing w:after="0" w:line="276" w:lineRule="auto"/>
        <w:jc w:val="both"/>
        <w:rPr>
          <w:rFonts w:ascii="Calibri" w:hAnsi="Calibri" w:cs="Arial"/>
          <w:bCs/>
          <w:sz w:val="20"/>
          <w:szCs w:val="20"/>
          <w:lang w:val="en-US" w:eastAsia="el-GR"/>
        </w:rPr>
      </w:pPr>
      <w:r w:rsidRPr="00686946">
        <w:rPr>
          <w:rFonts w:ascii="Calibri" w:hAnsi="Calibri" w:cs="Arial"/>
          <w:bCs/>
          <w:sz w:val="20"/>
          <w:szCs w:val="20"/>
          <w:lang w:val="en-US" w:eastAsia="el-GR"/>
        </w:rPr>
        <w:t>The same letter states that the validity of EYDAP tariffs is extended until the approval of new</w:t>
      </w:r>
      <w:r w:rsidR="0009211A">
        <w:rPr>
          <w:rFonts w:ascii="Calibri" w:hAnsi="Calibri" w:cs="Arial"/>
          <w:bCs/>
          <w:sz w:val="20"/>
          <w:szCs w:val="20"/>
          <w:lang w:val="en-US" w:eastAsia="el-GR"/>
        </w:rPr>
        <w:t xml:space="preserve"> tariffs under the new contract</w:t>
      </w:r>
      <w:r w:rsidRPr="00686946">
        <w:rPr>
          <w:rFonts w:ascii="Calibri" w:hAnsi="Calibri" w:cs="Arial"/>
          <w:bCs/>
          <w:sz w:val="20"/>
          <w:szCs w:val="20"/>
          <w:lang w:val="en-US" w:eastAsia="el-GR"/>
        </w:rPr>
        <w:t xml:space="preserve"> </w:t>
      </w:r>
      <w:r w:rsidR="0009211A" w:rsidRPr="0009211A">
        <w:rPr>
          <w:rFonts w:ascii="Calibri" w:hAnsi="Calibri" w:cs="Arial"/>
          <w:bCs/>
          <w:sz w:val="20"/>
          <w:szCs w:val="20"/>
          <w:lang w:val="en-US" w:eastAsia="el-GR"/>
        </w:rPr>
        <w:t xml:space="preserve">and any issues of over-recovery and / or under-recovery in each regulatory period will be addressed in accordance with article 114 of law 4812/2021 and the provisions of </w:t>
      </w:r>
      <w:r w:rsidR="0009211A" w:rsidRPr="00AF066A">
        <w:rPr>
          <w:rFonts w:ascii="Calibri" w:hAnsi="Calibri" w:cs="Arial"/>
          <w:bCs/>
          <w:sz w:val="20"/>
          <w:szCs w:val="20"/>
          <w:lang w:val="en-US" w:eastAsia="el-GR"/>
        </w:rPr>
        <w:t>J</w:t>
      </w:r>
      <w:r w:rsidR="00BD655B" w:rsidRPr="00AF066A">
        <w:rPr>
          <w:rFonts w:ascii="Calibri" w:hAnsi="Calibri" w:cs="Arial"/>
          <w:bCs/>
          <w:sz w:val="20"/>
          <w:szCs w:val="20"/>
          <w:lang w:val="en-US" w:eastAsia="el-GR"/>
        </w:rPr>
        <w:t>.</w:t>
      </w:r>
      <w:r w:rsidR="0009211A" w:rsidRPr="00AF066A">
        <w:rPr>
          <w:rFonts w:ascii="Calibri" w:hAnsi="Calibri" w:cs="Arial"/>
          <w:bCs/>
          <w:sz w:val="20"/>
          <w:szCs w:val="20"/>
          <w:lang w:val="en-US" w:eastAsia="el-GR"/>
        </w:rPr>
        <w:t>M</w:t>
      </w:r>
      <w:r w:rsidR="00BD655B" w:rsidRPr="00AF066A">
        <w:rPr>
          <w:rFonts w:ascii="Calibri" w:hAnsi="Calibri" w:cs="Arial"/>
          <w:bCs/>
          <w:sz w:val="20"/>
          <w:szCs w:val="20"/>
          <w:lang w:val="en-US" w:eastAsia="el-GR"/>
        </w:rPr>
        <w:t>.D.</w:t>
      </w:r>
      <w:r w:rsidR="0009211A" w:rsidRPr="0009211A">
        <w:rPr>
          <w:rFonts w:ascii="Calibri" w:hAnsi="Calibri" w:cs="Arial"/>
          <w:bCs/>
          <w:sz w:val="20"/>
          <w:szCs w:val="20"/>
          <w:lang w:val="en-US" w:eastAsia="el-GR"/>
        </w:rPr>
        <w:t xml:space="preserve"> 135275/2017, with the approval of the new tariffs.</w:t>
      </w:r>
    </w:p>
    <w:p w:rsidR="0009211A" w:rsidRPr="00686946" w:rsidRDefault="0009211A" w:rsidP="00686946">
      <w:pPr>
        <w:spacing w:after="0" w:line="276" w:lineRule="auto"/>
        <w:jc w:val="both"/>
        <w:rPr>
          <w:rFonts w:ascii="Calibri" w:hAnsi="Calibri" w:cs="Arial"/>
          <w:bCs/>
          <w:sz w:val="20"/>
          <w:szCs w:val="20"/>
          <w:lang w:val="en-US" w:eastAsia="el-GR"/>
        </w:rPr>
      </w:pPr>
    </w:p>
    <w:p w:rsidR="00686946" w:rsidRPr="00686946" w:rsidRDefault="00686946" w:rsidP="00686946">
      <w:pPr>
        <w:spacing w:after="0" w:line="276" w:lineRule="auto"/>
        <w:jc w:val="both"/>
        <w:rPr>
          <w:rFonts w:ascii="Calibri" w:hAnsi="Calibri" w:cs="Arial"/>
          <w:bCs/>
          <w:sz w:val="20"/>
          <w:szCs w:val="20"/>
          <w:lang w:val="en-US" w:eastAsia="el-GR"/>
        </w:rPr>
      </w:pPr>
      <w:r w:rsidRPr="00686946">
        <w:rPr>
          <w:rFonts w:ascii="Calibri" w:hAnsi="Calibri" w:cs="Arial"/>
          <w:bCs/>
          <w:sz w:val="20"/>
          <w:szCs w:val="20"/>
          <w:lang w:val="en-US" w:eastAsia="el-GR"/>
        </w:rPr>
        <w:t xml:space="preserve">Regarding the financial results, </w:t>
      </w:r>
      <w:r w:rsidRPr="00F73506">
        <w:rPr>
          <w:rFonts w:ascii="Calibri" w:hAnsi="Calibri" w:cs="Arial"/>
          <w:b/>
          <w:bCs/>
          <w:sz w:val="20"/>
          <w:szCs w:val="20"/>
          <w:lang w:val="en-US" w:eastAsia="el-GR"/>
        </w:rPr>
        <w:t>the turnover of the Company amounted to € 360.8 million from € 330.3 million in 2020, showing an increase of 9.2%</w:t>
      </w:r>
      <w:r w:rsidRPr="00686946">
        <w:rPr>
          <w:rFonts w:ascii="Calibri" w:hAnsi="Calibri" w:cs="Arial"/>
          <w:bCs/>
          <w:sz w:val="20"/>
          <w:szCs w:val="20"/>
          <w:lang w:val="en-US" w:eastAsia="el-GR"/>
        </w:rPr>
        <w:t xml:space="preserve"> (+ € 30.4 million). The </w:t>
      </w:r>
      <w:r w:rsidR="00A84C1E" w:rsidRPr="00A84C1E">
        <w:rPr>
          <w:rFonts w:ascii="Calibri" w:hAnsi="Calibri" w:cs="Arial"/>
          <w:bCs/>
          <w:sz w:val="20"/>
          <w:szCs w:val="20"/>
          <w:lang w:val="en-US" w:eastAsia="el-GR"/>
        </w:rPr>
        <w:t xml:space="preserve">€ </w:t>
      </w:r>
      <w:r w:rsidRPr="00686946">
        <w:rPr>
          <w:rFonts w:ascii="Calibri" w:hAnsi="Calibri" w:cs="Arial"/>
          <w:bCs/>
          <w:sz w:val="20"/>
          <w:szCs w:val="20"/>
          <w:lang w:val="en-US" w:eastAsia="el-GR"/>
        </w:rPr>
        <w:t xml:space="preserve">25 million from this increase are due to the income from the Contract for Operation and Maintenance of the External Water Supply System (owned by EYDAP </w:t>
      </w:r>
      <w:r w:rsidR="00A84C1E">
        <w:rPr>
          <w:rFonts w:ascii="Calibri" w:hAnsi="Calibri" w:cs="Arial"/>
          <w:bCs/>
          <w:sz w:val="20"/>
          <w:szCs w:val="20"/>
          <w:lang w:val="en-US" w:eastAsia="el-GR"/>
        </w:rPr>
        <w:t>Fixed Assets LEPL</w:t>
      </w:r>
      <w:r w:rsidRPr="00686946">
        <w:rPr>
          <w:rFonts w:ascii="Calibri" w:hAnsi="Calibri" w:cs="Arial"/>
          <w:bCs/>
          <w:sz w:val="20"/>
          <w:szCs w:val="20"/>
          <w:lang w:val="en-US" w:eastAsia="el-GR"/>
        </w:rPr>
        <w:t>) according to the relevant contract that has been concluded. Excluding this revenue, turnover would have increased by € 5.4 million (+ 1.6%) to € 335.8 million.</w:t>
      </w:r>
    </w:p>
    <w:p w:rsidR="00686946" w:rsidRPr="00686946" w:rsidRDefault="00686946" w:rsidP="00686946">
      <w:pPr>
        <w:spacing w:after="0" w:line="276" w:lineRule="auto"/>
        <w:jc w:val="both"/>
        <w:rPr>
          <w:rFonts w:ascii="Calibri" w:hAnsi="Calibri" w:cs="Arial"/>
          <w:bCs/>
          <w:sz w:val="20"/>
          <w:szCs w:val="20"/>
          <w:lang w:val="en-US" w:eastAsia="el-GR"/>
        </w:rPr>
      </w:pPr>
    </w:p>
    <w:p w:rsidR="00686946" w:rsidRDefault="00A84C1E" w:rsidP="00686946">
      <w:pPr>
        <w:spacing w:after="0" w:line="276" w:lineRule="auto"/>
        <w:jc w:val="both"/>
        <w:rPr>
          <w:rFonts w:ascii="Calibri" w:hAnsi="Calibri" w:cs="Arial"/>
          <w:bCs/>
          <w:sz w:val="20"/>
          <w:szCs w:val="20"/>
          <w:lang w:val="en-US" w:eastAsia="el-GR"/>
        </w:rPr>
      </w:pPr>
      <w:r w:rsidRPr="00A84C1E">
        <w:rPr>
          <w:rFonts w:ascii="Calibri" w:hAnsi="Calibri" w:cs="Arial"/>
          <w:bCs/>
          <w:sz w:val="20"/>
          <w:szCs w:val="20"/>
          <w:lang w:val="en-US" w:eastAsia="el-GR"/>
        </w:rPr>
        <w:t>In total, from the main activities (water supply and sewerage) the Company presented an increase of revenues by € 6.1 million (+ 1.9%). The total water consumption</w:t>
      </w:r>
      <w:r>
        <w:rPr>
          <w:rFonts w:ascii="Calibri" w:hAnsi="Calibri" w:cs="Arial"/>
          <w:bCs/>
          <w:sz w:val="20"/>
          <w:szCs w:val="20"/>
          <w:lang w:val="en-US" w:eastAsia="el-GR"/>
        </w:rPr>
        <w:t xml:space="preserve"> was 406.8 million cubic meters</w:t>
      </w:r>
      <w:r w:rsidRPr="00A84C1E">
        <w:rPr>
          <w:rFonts w:ascii="Calibri" w:hAnsi="Calibri" w:cs="Arial"/>
          <w:bCs/>
          <w:sz w:val="20"/>
          <w:szCs w:val="20"/>
          <w:lang w:val="en-US" w:eastAsia="el-GR"/>
        </w:rPr>
        <w:t xml:space="preserve"> </w:t>
      </w:r>
      <w:r>
        <w:rPr>
          <w:rFonts w:ascii="Calibri" w:hAnsi="Calibri" w:cs="Arial"/>
          <w:bCs/>
          <w:sz w:val="20"/>
          <w:szCs w:val="20"/>
          <w:lang w:val="en-US" w:eastAsia="el-GR"/>
        </w:rPr>
        <w:t>compared to</w:t>
      </w:r>
      <w:r w:rsidRPr="00A84C1E">
        <w:rPr>
          <w:rFonts w:ascii="Calibri" w:hAnsi="Calibri" w:cs="Arial"/>
          <w:bCs/>
          <w:sz w:val="20"/>
          <w:szCs w:val="20"/>
          <w:lang w:val="en-US" w:eastAsia="el-GR"/>
        </w:rPr>
        <w:t xml:space="preserve"> 399.8 million cubic meters in 2020, increased by 1.8%.</w:t>
      </w:r>
    </w:p>
    <w:p w:rsidR="00A84C1E" w:rsidRPr="00A84C1E" w:rsidRDefault="00A84C1E" w:rsidP="00686946">
      <w:pPr>
        <w:spacing w:after="0" w:line="276" w:lineRule="auto"/>
        <w:jc w:val="both"/>
        <w:rPr>
          <w:rFonts w:ascii="Calibri" w:hAnsi="Calibri" w:cs="Arial"/>
          <w:bCs/>
          <w:sz w:val="20"/>
          <w:szCs w:val="20"/>
          <w:lang w:val="en-US" w:eastAsia="el-GR"/>
        </w:rPr>
      </w:pPr>
    </w:p>
    <w:p w:rsidR="00686946" w:rsidRDefault="00A84C1E" w:rsidP="00686946">
      <w:pPr>
        <w:spacing w:after="0" w:line="276" w:lineRule="auto"/>
        <w:jc w:val="both"/>
        <w:rPr>
          <w:rFonts w:ascii="Calibri" w:hAnsi="Calibri" w:cs="Arial"/>
          <w:bCs/>
          <w:sz w:val="20"/>
          <w:szCs w:val="20"/>
          <w:lang w:val="en-US" w:eastAsia="el-GR"/>
        </w:rPr>
      </w:pPr>
      <w:r w:rsidRPr="00A84C1E">
        <w:rPr>
          <w:rFonts w:ascii="Calibri" w:hAnsi="Calibri" w:cs="Arial"/>
          <w:bCs/>
          <w:sz w:val="20"/>
          <w:szCs w:val="20"/>
          <w:lang w:val="en-US" w:eastAsia="el-GR"/>
        </w:rPr>
        <w:t>The total operating costs of the Company (i</w:t>
      </w:r>
      <w:r>
        <w:rPr>
          <w:rFonts w:ascii="Calibri" w:hAnsi="Calibri" w:cs="Arial"/>
          <w:bCs/>
          <w:sz w:val="20"/>
          <w:szCs w:val="20"/>
          <w:lang w:val="en-US" w:eastAsia="el-GR"/>
        </w:rPr>
        <w:t>.</w:t>
      </w:r>
      <w:r w:rsidRPr="00A84C1E">
        <w:rPr>
          <w:rFonts w:ascii="Calibri" w:hAnsi="Calibri" w:cs="Arial"/>
          <w:bCs/>
          <w:sz w:val="20"/>
          <w:szCs w:val="20"/>
          <w:lang w:val="en-US" w:eastAsia="el-GR"/>
        </w:rPr>
        <w:t>e</w:t>
      </w:r>
      <w:r>
        <w:rPr>
          <w:rFonts w:ascii="Calibri" w:hAnsi="Calibri" w:cs="Arial"/>
          <w:bCs/>
          <w:sz w:val="20"/>
          <w:szCs w:val="20"/>
          <w:lang w:val="en-US" w:eastAsia="el-GR"/>
        </w:rPr>
        <w:t>.</w:t>
      </w:r>
      <w:r w:rsidRPr="00A84C1E">
        <w:rPr>
          <w:rFonts w:ascii="Calibri" w:hAnsi="Calibri" w:cs="Arial"/>
          <w:bCs/>
          <w:sz w:val="20"/>
          <w:szCs w:val="20"/>
          <w:lang w:val="en-US" w:eastAsia="el-GR"/>
        </w:rPr>
        <w:t xml:space="preserve"> the sum of Costs </w:t>
      </w:r>
      <w:r>
        <w:rPr>
          <w:rFonts w:ascii="Calibri" w:hAnsi="Calibri" w:cs="Arial"/>
          <w:bCs/>
          <w:sz w:val="20"/>
          <w:szCs w:val="20"/>
          <w:lang w:val="en-US" w:eastAsia="el-GR"/>
        </w:rPr>
        <w:t>of Sales</w:t>
      </w:r>
      <w:r w:rsidRPr="00A84C1E">
        <w:rPr>
          <w:rFonts w:ascii="Calibri" w:hAnsi="Calibri" w:cs="Arial"/>
          <w:bCs/>
          <w:sz w:val="20"/>
          <w:szCs w:val="20"/>
          <w:lang w:val="en-US" w:eastAsia="el-GR"/>
        </w:rPr>
        <w:t>, Administrative Expenses, Distribution Expenses and Impairment of Financial Assets) increased by 10.1% or +29 million €</w:t>
      </w:r>
      <w:r>
        <w:rPr>
          <w:rFonts w:ascii="Calibri" w:hAnsi="Calibri" w:cs="Arial"/>
          <w:bCs/>
          <w:sz w:val="20"/>
          <w:szCs w:val="20"/>
          <w:lang w:val="en-US" w:eastAsia="el-GR"/>
        </w:rPr>
        <w:t xml:space="preserve"> and amounted to </w:t>
      </w:r>
      <w:r w:rsidRPr="00A84C1E">
        <w:rPr>
          <w:rFonts w:ascii="Calibri" w:hAnsi="Calibri" w:cs="Arial"/>
          <w:bCs/>
          <w:sz w:val="20"/>
          <w:szCs w:val="20"/>
          <w:lang w:val="en-US" w:eastAsia="el-GR"/>
        </w:rPr>
        <w:t>€</w:t>
      </w:r>
      <w:r>
        <w:rPr>
          <w:rFonts w:ascii="Calibri" w:hAnsi="Calibri" w:cs="Arial"/>
          <w:bCs/>
          <w:sz w:val="20"/>
          <w:szCs w:val="20"/>
          <w:lang w:val="en-US" w:eastAsia="el-GR"/>
        </w:rPr>
        <w:t>317.6 million</w:t>
      </w:r>
      <w:r w:rsidRPr="00A84C1E">
        <w:rPr>
          <w:rFonts w:ascii="Calibri" w:hAnsi="Calibri" w:cs="Arial"/>
          <w:bCs/>
          <w:sz w:val="20"/>
          <w:szCs w:val="20"/>
          <w:lang w:val="en-US" w:eastAsia="el-GR"/>
        </w:rPr>
        <w:t xml:space="preserve"> from € 288.6 million in 2020. The main </w:t>
      </w:r>
      <w:r>
        <w:rPr>
          <w:rFonts w:ascii="Calibri" w:hAnsi="Calibri" w:cs="Arial"/>
          <w:bCs/>
          <w:sz w:val="20"/>
          <w:szCs w:val="20"/>
          <w:lang w:val="en-US" w:eastAsia="el-GR"/>
        </w:rPr>
        <w:t>factor</w:t>
      </w:r>
      <w:r w:rsidRPr="00A84C1E">
        <w:rPr>
          <w:rFonts w:ascii="Calibri" w:hAnsi="Calibri" w:cs="Arial"/>
          <w:bCs/>
          <w:sz w:val="20"/>
          <w:szCs w:val="20"/>
          <w:lang w:val="en-US" w:eastAsia="el-GR"/>
        </w:rPr>
        <w:t xml:space="preserve"> of the increase was the 19% increase in third party benefits from € 37.6 million in 2020 to € 44.9 million in 2021 mainly due to the increase in energy costs.</w:t>
      </w:r>
    </w:p>
    <w:p w:rsidR="00A84C1E" w:rsidRPr="00A84C1E" w:rsidRDefault="00A84C1E" w:rsidP="00686946">
      <w:pPr>
        <w:spacing w:after="0" w:line="276" w:lineRule="auto"/>
        <w:jc w:val="both"/>
        <w:rPr>
          <w:rFonts w:ascii="Calibri" w:hAnsi="Calibri" w:cs="Arial"/>
          <w:bCs/>
          <w:sz w:val="20"/>
          <w:szCs w:val="20"/>
          <w:lang w:val="en-US" w:eastAsia="el-GR"/>
        </w:rPr>
      </w:pPr>
    </w:p>
    <w:p w:rsidR="00A84C1E" w:rsidRDefault="00A84C1E" w:rsidP="00686946">
      <w:pPr>
        <w:spacing w:after="0" w:line="276" w:lineRule="auto"/>
        <w:jc w:val="both"/>
        <w:rPr>
          <w:rFonts w:ascii="Calibri" w:hAnsi="Calibri" w:cs="Arial"/>
          <w:bCs/>
          <w:sz w:val="20"/>
          <w:szCs w:val="20"/>
          <w:lang w:val="en-US" w:eastAsia="el-GR"/>
        </w:rPr>
      </w:pPr>
      <w:bookmarkStart w:id="1" w:name="_Hlk101947702"/>
      <w:r w:rsidRPr="00A84C1E">
        <w:rPr>
          <w:rFonts w:ascii="Calibri" w:hAnsi="Calibri" w:cs="Arial"/>
          <w:bCs/>
          <w:sz w:val="20"/>
          <w:szCs w:val="20"/>
          <w:lang w:val="en-US" w:eastAsia="el-GR"/>
        </w:rPr>
        <w:t xml:space="preserve">The Company's efficiency </w:t>
      </w:r>
      <w:r>
        <w:rPr>
          <w:rFonts w:ascii="Calibri" w:hAnsi="Calibri" w:cs="Arial"/>
          <w:bCs/>
          <w:sz w:val="20"/>
          <w:szCs w:val="20"/>
          <w:lang w:val="en-US" w:eastAsia="el-GR"/>
        </w:rPr>
        <w:t>indicators</w:t>
      </w:r>
      <w:r w:rsidRPr="00A84C1E">
        <w:rPr>
          <w:rFonts w:ascii="Calibri" w:hAnsi="Calibri" w:cs="Arial"/>
          <w:bCs/>
          <w:sz w:val="20"/>
          <w:szCs w:val="20"/>
          <w:lang w:val="en-US" w:eastAsia="el-GR"/>
        </w:rPr>
        <w:t xml:space="preserve"> were affected by the formation of the </w:t>
      </w:r>
      <w:r w:rsidR="00904EA9">
        <w:rPr>
          <w:rFonts w:ascii="Calibri" w:hAnsi="Calibri" w:cs="Arial"/>
          <w:bCs/>
          <w:sz w:val="20"/>
          <w:szCs w:val="20"/>
          <w:lang w:val="en-US" w:eastAsia="el-GR"/>
        </w:rPr>
        <w:t>forecast</w:t>
      </w:r>
      <w:r w:rsidRPr="00A84C1E">
        <w:rPr>
          <w:rFonts w:ascii="Calibri" w:hAnsi="Calibri" w:cs="Arial"/>
          <w:bCs/>
          <w:sz w:val="20"/>
          <w:szCs w:val="20"/>
          <w:lang w:val="en-US" w:eastAsia="el-GR"/>
        </w:rPr>
        <w:t xml:space="preserve"> for the additional cost of </w:t>
      </w:r>
      <w:r>
        <w:rPr>
          <w:rFonts w:ascii="Calibri" w:hAnsi="Calibri" w:cs="Arial"/>
          <w:bCs/>
          <w:sz w:val="20"/>
          <w:szCs w:val="20"/>
          <w:lang w:val="en-US" w:eastAsia="el-GR"/>
        </w:rPr>
        <w:t>raw</w:t>
      </w:r>
      <w:r w:rsidRPr="00A84C1E">
        <w:rPr>
          <w:rFonts w:ascii="Calibri" w:hAnsi="Calibri" w:cs="Arial"/>
          <w:bCs/>
          <w:sz w:val="20"/>
          <w:szCs w:val="20"/>
          <w:lang w:val="en-US" w:eastAsia="el-GR"/>
        </w:rPr>
        <w:t xml:space="preserve"> water for the period 2013-2019, amounting t</w:t>
      </w:r>
      <w:r w:rsidR="0009211A">
        <w:rPr>
          <w:rFonts w:ascii="Calibri" w:hAnsi="Calibri" w:cs="Arial"/>
          <w:bCs/>
          <w:sz w:val="20"/>
          <w:szCs w:val="20"/>
          <w:lang w:val="en-US" w:eastAsia="el-GR"/>
        </w:rPr>
        <w:t>o € 135.3 million, which burdened</w:t>
      </w:r>
      <w:r w:rsidRPr="00A84C1E">
        <w:rPr>
          <w:rFonts w:ascii="Calibri" w:hAnsi="Calibri" w:cs="Arial"/>
          <w:bCs/>
          <w:sz w:val="20"/>
          <w:szCs w:val="20"/>
          <w:lang w:val="en-US" w:eastAsia="el-GR"/>
        </w:rPr>
        <w:t xml:space="preserve"> the results of the previous year.</w:t>
      </w:r>
    </w:p>
    <w:p w:rsidR="00A84C1E" w:rsidRPr="00A84C1E" w:rsidRDefault="00A84C1E" w:rsidP="00686946">
      <w:pPr>
        <w:spacing w:after="0" w:line="276" w:lineRule="auto"/>
        <w:jc w:val="both"/>
        <w:rPr>
          <w:rFonts w:ascii="Calibri" w:hAnsi="Calibri" w:cs="Arial"/>
          <w:bCs/>
          <w:sz w:val="20"/>
          <w:szCs w:val="20"/>
          <w:lang w:val="en-US" w:eastAsia="el-GR"/>
        </w:rPr>
      </w:pPr>
    </w:p>
    <w:bookmarkEnd w:id="1"/>
    <w:p w:rsidR="00686946" w:rsidRPr="00904EA9" w:rsidRDefault="00904EA9" w:rsidP="00686946">
      <w:pPr>
        <w:spacing w:after="0" w:line="276" w:lineRule="auto"/>
        <w:jc w:val="both"/>
        <w:rPr>
          <w:rFonts w:ascii="Calibri" w:hAnsi="Calibri" w:cs="Arial"/>
          <w:bCs/>
          <w:sz w:val="20"/>
          <w:szCs w:val="20"/>
          <w:lang w:val="en-US" w:eastAsia="el-GR"/>
        </w:rPr>
      </w:pPr>
      <w:r w:rsidRPr="00904EA9">
        <w:rPr>
          <w:rFonts w:ascii="Calibri" w:hAnsi="Calibri" w:cs="Arial"/>
          <w:bCs/>
          <w:sz w:val="20"/>
          <w:szCs w:val="20"/>
          <w:lang w:val="en-US" w:eastAsia="el-GR"/>
        </w:rPr>
        <w:t xml:space="preserve">Earnings </w:t>
      </w:r>
      <w:proofErr w:type="gramStart"/>
      <w:r w:rsidRPr="00904EA9">
        <w:rPr>
          <w:rFonts w:ascii="Calibri" w:hAnsi="Calibri" w:cs="Arial"/>
          <w:bCs/>
          <w:sz w:val="20"/>
          <w:szCs w:val="20"/>
          <w:lang w:val="en-US" w:eastAsia="el-GR"/>
        </w:rPr>
        <w:t>Before</w:t>
      </w:r>
      <w:proofErr w:type="gramEnd"/>
      <w:r w:rsidRPr="00904EA9">
        <w:rPr>
          <w:rFonts w:ascii="Calibri" w:hAnsi="Calibri" w:cs="Arial"/>
          <w:bCs/>
          <w:sz w:val="20"/>
          <w:szCs w:val="20"/>
          <w:lang w:val="en-US" w:eastAsia="el-GR"/>
        </w:rPr>
        <w:t xml:space="preserve"> Interest, Taxes, Depreciation, and Amortization (EBITDA *) of the Company amounted to € 85.5 million from -57.1 million in 2020. The EBITDA margin was 23.7% from -17.3% in 2020.</w:t>
      </w:r>
    </w:p>
    <w:p w:rsidR="00686946" w:rsidRPr="00904EA9" w:rsidRDefault="00686946" w:rsidP="00686946">
      <w:pPr>
        <w:spacing w:after="0" w:line="276" w:lineRule="auto"/>
        <w:jc w:val="both"/>
        <w:rPr>
          <w:rFonts w:ascii="Calibri" w:hAnsi="Calibri" w:cs="Arial"/>
          <w:bCs/>
          <w:sz w:val="20"/>
          <w:szCs w:val="20"/>
          <w:lang w:val="en-US" w:eastAsia="el-GR"/>
        </w:rPr>
      </w:pPr>
    </w:p>
    <w:p w:rsidR="00904EA9" w:rsidRDefault="00904EA9" w:rsidP="00686946">
      <w:pPr>
        <w:spacing w:after="0" w:line="276" w:lineRule="auto"/>
        <w:jc w:val="both"/>
        <w:rPr>
          <w:rFonts w:ascii="Calibri" w:hAnsi="Calibri" w:cs="Arial"/>
          <w:bCs/>
          <w:sz w:val="20"/>
          <w:szCs w:val="20"/>
          <w:lang w:val="en-US" w:eastAsia="el-GR"/>
        </w:rPr>
      </w:pPr>
      <w:r w:rsidRPr="00904EA9">
        <w:rPr>
          <w:rFonts w:ascii="Calibri" w:hAnsi="Calibri" w:cs="Arial"/>
          <w:bCs/>
          <w:sz w:val="20"/>
          <w:szCs w:val="20"/>
          <w:lang w:val="en-US" w:eastAsia="el-GR"/>
        </w:rPr>
        <w:t xml:space="preserve">The increase of EBITDA affected the Earnings </w:t>
      </w:r>
      <w:proofErr w:type="gramStart"/>
      <w:r w:rsidRPr="00904EA9">
        <w:rPr>
          <w:rFonts w:ascii="Calibri" w:hAnsi="Calibri" w:cs="Arial"/>
          <w:bCs/>
          <w:sz w:val="20"/>
          <w:szCs w:val="20"/>
          <w:lang w:val="en-US" w:eastAsia="el-GR"/>
        </w:rPr>
        <w:t>Before</w:t>
      </w:r>
      <w:proofErr w:type="gramEnd"/>
      <w:r w:rsidRPr="00904EA9">
        <w:rPr>
          <w:rFonts w:ascii="Calibri" w:hAnsi="Calibri" w:cs="Arial"/>
          <w:bCs/>
          <w:sz w:val="20"/>
          <w:szCs w:val="20"/>
          <w:lang w:val="en-US" w:eastAsia="el-GR"/>
        </w:rPr>
        <w:t xml:space="preserve"> Interest and Taxes (EBIT *) of the Company, which showed an increase of +138.5 million € and amounted to 46.3 million € from -92.2 million € in 2020</w:t>
      </w:r>
      <w:r>
        <w:rPr>
          <w:rFonts w:ascii="Calibri" w:hAnsi="Calibri" w:cs="Arial"/>
          <w:bCs/>
          <w:sz w:val="20"/>
          <w:szCs w:val="20"/>
          <w:lang w:val="en-US" w:eastAsia="el-GR"/>
        </w:rPr>
        <w:t>.</w:t>
      </w:r>
      <w:r w:rsidRPr="00904EA9">
        <w:rPr>
          <w:rFonts w:ascii="Calibri" w:hAnsi="Calibri" w:cs="Arial"/>
          <w:bCs/>
          <w:sz w:val="20"/>
          <w:szCs w:val="20"/>
          <w:lang w:val="en-US" w:eastAsia="el-GR"/>
        </w:rPr>
        <w:t xml:space="preserve"> The EBIT margin stood at 12.8% from -27.9% in 2020.</w:t>
      </w:r>
    </w:p>
    <w:p w:rsidR="00904EA9" w:rsidRDefault="00904EA9" w:rsidP="00686946">
      <w:pPr>
        <w:spacing w:after="0" w:line="276" w:lineRule="auto"/>
        <w:jc w:val="both"/>
        <w:rPr>
          <w:rFonts w:ascii="Calibri" w:hAnsi="Calibri" w:cs="Arial"/>
          <w:bCs/>
          <w:sz w:val="20"/>
          <w:szCs w:val="20"/>
          <w:lang w:val="en-US" w:eastAsia="el-GR"/>
        </w:rPr>
      </w:pPr>
    </w:p>
    <w:p w:rsidR="00904EA9" w:rsidRDefault="00904EA9" w:rsidP="00686946">
      <w:pPr>
        <w:spacing w:after="0" w:line="276" w:lineRule="auto"/>
        <w:jc w:val="both"/>
        <w:rPr>
          <w:rFonts w:ascii="Calibri" w:hAnsi="Calibri" w:cs="Arial"/>
          <w:bCs/>
          <w:sz w:val="20"/>
          <w:szCs w:val="20"/>
          <w:lang w:val="en-US" w:eastAsia="el-GR"/>
        </w:rPr>
      </w:pPr>
      <w:r w:rsidRPr="0009211A">
        <w:rPr>
          <w:rFonts w:ascii="Calibri" w:hAnsi="Calibri" w:cs="Arial"/>
          <w:b/>
          <w:bCs/>
          <w:sz w:val="20"/>
          <w:szCs w:val="20"/>
          <w:lang w:val="en-US" w:eastAsia="el-GR"/>
        </w:rPr>
        <w:t>The Company's earnings before taxes amounted to € 59.4 million from -80.4 million € in 2020.</w:t>
      </w:r>
      <w:r w:rsidRPr="00904EA9">
        <w:rPr>
          <w:rFonts w:ascii="Calibri" w:hAnsi="Calibri" w:cs="Arial"/>
          <w:bCs/>
          <w:sz w:val="20"/>
          <w:szCs w:val="20"/>
          <w:lang w:val="en-US" w:eastAsia="el-GR"/>
        </w:rPr>
        <w:t xml:space="preserve"> The Company's </w:t>
      </w:r>
      <w:r>
        <w:rPr>
          <w:rFonts w:ascii="Calibri" w:hAnsi="Calibri" w:cs="Arial"/>
          <w:bCs/>
          <w:sz w:val="20"/>
          <w:szCs w:val="20"/>
          <w:lang w:val="en-US" w:eastAsia="el-GR"/>
        </w:rPr>
        <w:t>earnings</w:t>
      </w:r>
      <w:r w:rsidRPr="00904EA9">
        <w:rPr>
          <w:rFonts w:ascii="Calibri" w:hAnsi="Calibri" w:cs="Arial"/>
          <w:bCs/>
          <w:sz w:val="20"/>
          <w:szCs w:val="20"/>
          <w:lang w:val="en-US" w:eastAsia="el-GR"/>
        </w:rPr>
        <w:t xml:space="preserve"> after taxes amounted to € 30.7 million from losses of -66.1 million € </w:t>
      </w:r>
      <w:r w:rsidR="00BD655B" w:rsidRPr="00AF066A">
        <w:rPr>
          <w:rFonts w:ascii="Calibri" w:hAnsi="Calibri" w:cs="Arial"/>
          <w:bCs/>
          <w:sz w:val="20"/>
          <w:szCs w:val="20"/>
          <w:lang w:val="en-US" w:eastAsia="el-GR"/>
        </w:rPr>
        <w:t>in</w:t>
      </w:r>
      <w:r w:rsidRPr="00AF066A">
        <w:rPr>
          <w:rFonts w:ascii="Calibri" w:hAnsi="Calibri" w:cs="Arial"/>
          <w:bCs/>
          <w:sz w:val="20"/>
          <w:szCs w:val="20"/>
          <w:lang w:val="en-US" w:eastAsia="el-GR"/>
        </w:rPr>
        <w:t xml:space="preserve"> 2020.</w:t>
      </w:r>
      <w:r w:rsidRPr="00A27E71">
        <w:rPr>
          <w:rFonts w:ascii="Calibri" w:hAnsi="Calibri" w:cs="Arial"/>
          <w:bCs/>
          <w:sz w:val="20"/>
          <w:szCs w:val="20"/>
          <w:lang w:val="en-US" w:eastAsia="el-GR"/>
        </w:rPr>
        <w:t xml:space="preserve"> The net profit margin stood at 8.5% from -20% in 2020.</w:t>
      </w:r>
    </w:p>
    <w:p w:rsidR="00904EA9" w:rsidRDefault="00904EA9" w:rsidP="00686946">
      <w:pPr>
        <w:spacing w:after="0" w:line="276" w:lineRule="auto"/>
        <w:jc w:val="both"/>
        <w:rPr>
          <w:rFonts w:ascii="Calibri" w:hAnsi="Calibri" w:cs="Arial"/>
          <w:bCs/>
          <w:sz w:val="20"/>
          <w:szCs w:val="20"/>
          <w:lang w:val="en-US" w:eastAsia="el-GR"/>
        </w:rPr>
      </w:pPr>
    </w:p>
    <w:p w:rsidR="00686946" w:rsidRPr="00904EA9" w:rsidRDefault="00904EA9" w:rsidP="00686946">
      <w:pPr>
        <w:spacing w:after="0" w:line="276" w:lineRule="auto"/>
        <w:jc w:val="both"/>
        <w:rPr>
          <w:rFonts w:ascii="Calibri" w:hAnsi="Calibri" w:cs="Arial"/>
          <w:bCs/>
          <w:sz w:val="20"/>
          <w:szCs w:val="20"/>
          <w:u w:val="single"/>
          <w:lang w:val="en-US" w:eastAsia="el-GR"/>
        </w:rPr>
      </w:pPr>
      <w:r w:rsidRPr="00904EA9">
        <w:rPr>
          <w:rFonts w:ascii="Calibri" w:hAnsi="Calibri" w:cs="Arial"/>
          <w:bCs/>
          <w:sz w:val="20"/>
          <w:szCs w:val="20"/>
          <w:lang w:val="en-US" w:eastAsia="el-GR"/>
        </w:rPr>
        <w:t xml:space="preserve">Net Operating Cash inflows for the group decreased from € 93.2 million in 2020 to € 38.2 million in 2021, down € -55 million. </w:t>
      </w:r>
      <w:r w:rsidR="0009211A" w:rsidRPr="0009211A">
        <w:rPr>
          <w:rFonts w:ascii="Calibri" w:hAnsi="Calibri" w:cs="Arial"/>
          <w:bCs/>
          <w:sz w:val="20"/>
          <w:szCs w:val="20"/>
          <w:lang w:val="en-US" w:eastAsia="el-GR"/>
        </w:rPr>
        <w:t xml:space="preserve">The increase in the balance of receivables from customers contributed to this decrease as a result of the suspension of distribution of </w:t>
      </w:r>
      <w:r w:rsidR="0009211A">
        <w:rPr>
          <w:rFonts w:ascii="Calibri" w:hAnsi="Calibri" w:cs="Arial"/>
          <w:bCs/>
          <w:sz w:val="20"/>
          <w:szCs w:val="20"/>
          <w:lang w:val="en-US" w:eastAsia="el-GR"/>
        </w:rPr>
        <w:t>bills</w:t>
      </w:r>
      <w:r w:rsidR="0009211A" w:rsidRPr="0009211A">
        <w:rPr>
          <w:rFonts w:ascii="Calibri" w:hAnsi="Calibri" w:cs="Arial"/>
          <w:bCs/>
          <w:sz w:val="20"/>
          <w:szCs w:val="20"/>
          <w:lang w:val="en-US" w:eastAsia="el-GR"/>
        </w:rPr>
        <w:t>, due to the Company's obligation to comply with Law 4412/2016 "Public Procurement of Works, Supplies and Services", which led to time delays in ap</w:t>
      </w:r>
      <w:r w:rsidR="0009211A">
        <w:rPr>
          <w:rFonts w:ascii="Calibri" w:hAnsi="Calibri" w:cs="Arial"/>
          <w:bCs/>
          <w:sz w:val="20"/>
          <w:szCs w:val="20"/>
          <w:lang w:val="en-US" w:eastAsia="el-GR"/>
        </w:rPr>
        <w:t xml:space="preserve">pointing a postal contractor. </w:t>
      </w:r>
      <w:r w:rsidR="0009211A" w:rsidRPr="0009211A">
        <w:rPr>
          <w:rFonts w:ascii="Calibri" w:hAnsi="Calibri" w:cs="Arial"/>
          <w:bCs/>
          <w:sz w:val="20"/>
          <w:szCs w:val="20"/>
          <w:lang w:val="en-US" w:eastAsia="el-GR"/>
        </w:rPr>
        <w:t>EYDAP has already given a final solution to the issue and the collection of bills has been normalized.</w:t>
      </w:r>
      <w:r w:rsidR="0009211A">
        <w:rPr>
          <w:rFonts w:ascii="Calibri" w:hAnsi="Calibri" w:cs="Arial"/>
          <w:bCs/>
          <w:sz w:val="20"/>
          <w:szCs w:val="20"/>
          <w:lang w:val="en-US" w:eastAsia="el-GR"/>
        </w:rPr>
        <w:t xml:space="preserve"> </w:t>
      </w:r>
      <w:r w:rsidRPr="00904EA9">
        <w:rPr>
          <w:rFonts w:ascii="Calibri" w:hAnsi="Calibri" w:cs="Arial"/>
          <w:bCs/>
          <w:sz w:val="20"/>
          <w:szCs w:val="20"/>
          <w:lang w:val="en-US" w:eastAsia="el-GR"/>
        </w:rPr>
        <w:t>The Net Investment Cash Flows for the group amounted to an outflow of € 18.7 million, while in 2020 there was an outflow of € 18.6 million.</w:t>
      </w:r>
    </w:p>
    <w:p w:rsidR="0009211A" w:rsidRDefault="0009211A" w:rsidP="00686946">
      <w:pPr>
        <w:spacing w:after="0" w:line="276" w:lineRule="auto"/>
        <w:jc w:val="both"/>
        <w:rPr>
          <w:rFonts w:ascii="Calibri" w:hAnsi="Calibri" w:cs="Arial"/>
          <w:bCs/>
          <w:sz w:val="20"/>
          <w:szCs w:val="20"/>
          <w:u w:val="single"/>
          <w:lang w:val="en-US" w:eastAsia="el-GR"/>
        </w:rPr>
      </w:pPr>
    </w:p>
    <w:p w:rsidR="00904EA9" w:rsidRPr="0009211A" w:rsidRDefault="0009211A" w:rsidP="00686946">
      <w:pPr>
        <w:spacing w:after="0" w:line="276" w:lineRule="auto"/>
        <w:jc w:val="both"/>
        <w:rPr>
          <w:rFonts w:ascii="Calibri" w:hAnsi="Calibri" w:cs="Arial"/>
          <w:bCs/>
          <w:sz w:val="20"/>
          <w:szCs w:val="20"/>
          <w:lang w:val="en-US" w:eastAsia="el-GR"/>
        </w:rPr>
      </w:pPr>
      <w:r w:rsidRPr="0009211A">
        <w:rPr>
          <w:rFonts w:ascii="Calibri" w:hAnsi="Calibri" w:cs="Arial"/>
          <w:bCs/>
          <w:sz w:val="20"/>
          <w:szCs w:val="20"/>
          <w:lang w:val="en-US" w:eastAsia="el-GR"/>
        </w:rPr>
        <w:t>The Board of Directors of the Company approved the submission of a proposal to the Ordinary General Meeting of Shareholders, for the distribution of a dividend of twenty-eight cents (Euro 0.28) per share, (total gross amount of Euro 29,820 thousand euros) for the year 2021. Based on the closing price on 31/12/2021, the dividend yield stands at 3.6%. The possibility of further dividend distribution from past profits will also be considered.</w:t>
      </w:r>
    </w:p>
    <w:p w:rsidR="0009211A" w:rsidRDefault="0009211A" w:rsidP="00686946">
      <w:pPr>
        <w:spacing w:after="0" w:line="276" w:lineRule="auto"/>
        <w:jc w:val="both"/>
        <w:rPr>
          <w:rFonts w:ascii="Calibri" w:hAnsi="Calibri" w:cs="Arial"/>
          <w:bCs/>
          <w:sz w:val="20"/>
          <w:szCs w:val="20"/>
          <w:u w:val="single"/>
          <w:lang w:val="en-US" w:eastAsia="el-GR"/>
        </w:rPr>
      </w:pPr>
    </w:p>
    <w:p w:rsidR="00686946" w:rsidRPr="00904EA9" w:rsidRDefault="00904EA9" w:rsidP="00686946">
      <w:pPr>
        <w:spacing w:after="0" w:line="276" w:lineRule="auto"/>
        <w:jc w:val="both"/>
        <w:rPr>
          <w:rFonts w:ascii="Calibri" w:hAnsi="Calibri" w:cs="Arial"/>
          <w:bCs/>
          <w:sz w:val="20"/>
          <w:szCs w:val="20"/>
          <w:lang w:val="en-US" w:eastAsia="el-GR"/>
        </w:rPr>
      </w:pPr>
      <w:r w:rsidRPr="00904EA9">
        <w:rPr>
          <w:rFonts w:ascii="Calibri" w:hAnsi="Calibri" w:cs="Arial"/>
          <w:bCs/>
          <w:sz w:val="20"/>
          <w:szCs w:val="20"/>
          <w:u w:val="single"/>
          <w:lang w:val="en-US" w:eastAsia="el-GR"/>
        </w:rPr>
        <w:t>Impact of Geopolitical Crisis and Energy Costs</w:t>
      </w:r>
    </w:p>
    <w:p w:rsidR="00904EA9" w:rsidRDefault="00904EA9" w:rsidP="00686946">
      <w:pPr>
        <w:spacing w:after="0" w:line="276" w:lineRule="auto"/>
        <w:jc w:val="both"/>
        <w:rPr>
          <w:rFonts w:ascii="Calibri" w:hAnsi="Calibri" w:cs="Arial"/>
          <w:bCs/>
          <w:sz w:val="20"/>
          <w:szCs w:val="20"/>
          <w:lang w:val="en-US" w:eastAsia="el-GR"/>
        </w:rPr>
      </w:pPr>
    </w:p>
    <w:p w:rsidR="00686946" w:rsidRDefault="00520044" w:rsidP="00686946">
      <w:pPr>
        <w:spacing w:after="0" w:line="276" w:lineRule="auto"/>
        <w:jc w:val="both"/>
        <w:rPr>
          <w:rFonts w:ascii="Calibri" w:hAnsi="Calibri" w:cs="Arial"/>
          <w:bCs/>
          <w:sz w:val="20"/>
          <w:szCs w:val="20"/>
          <w:lang w:val="en-US" w:eastAsia="el-GR"/>
        </w:rPr>
      </w:pPr>
      <w:r w:rsidRPr="0009211A">
        <w:rPr>
          <w:rFonts w:ascii="Calibri" w:hAnsi="Calibri" w:cs="Arial"/>
          <w:b/>
          <w:bCs/>
          <w:sz w:val="20"/>
          <w:szCs w:val="20"/>
          <w:lang w:val="en-US" w:eastAsia="el-GR"/>
        </w:rPr>
        <w:t xml:space="preserve">Regarding the effects of the geopolitical crisis in Ukraine, EYDAP is not directly exposed in these </w:t>
      </w:r>
      <w:proofErr w:type="gramStart"/>
      <w:r w:rsidRPr="0009211A">
        <w:rPr>
          <w:rFonts w:ascii="Calibri" w:hAnsi="Calibri" w:cs="Arial"/>
          <w:b/>
          <w:bCs/>
          <w:sz w:val="20"/>
          <w:szCs w:val="20"/>
          <w:lang w:val="en-US" w:eastAsia="el-GR"/>
        </w:rPr>
        <w:t>areas,</w:t>
      </w:r>
      <w:proofErr w:type="gramEnd"/>
      <w:r w:rsidRPr="0009211A">
        <w:rPr>
          <w:rFonts w:ascii="Calibri" w:hAnsi="Calibri" w:cs="Arial"/>
          <w:b/>
          <w:bCs/>
          <w:sz w:val="20"/>
          <w:szCs w:val="20"/>
          <w:lang w:val="en-US" w:eastAsia="el-GR"/>
        </w:rPr>
        <w:t xml:space="preserve"> therefore there is no direct impact on its activities</w:t>
      </w:r>
      <w:r w:rsidRPr="00520044">
        <w:rPr>
          <w:rFonts w:ascii="Calibri" w:hAnsi="Calibri" w:cs="Arial"/>
          <w:bCs/>
          <w:sz w:val="20"/>
          <w:szCs w:val="20"/>
          <w:lang w:val="en-US" w:eastAsia="el-GR"/>
        </w:rPr>
        <w:t xml:space="preserve">. Nevertheless, unfavorable developments in the energy sector and raw material prices, which have been exacerbated by the situation in Ukraine </w:t>
      </w:r>
      <w:r w:rsidRPr="00520044">
        <w:rPr>
          <w:rFonts w:ascii="Calibri" w:hAnsi="Calibri" w:cs="Arial"/>
          <w:bCs/>
          <w:sz w:val="20"/>
          <w:szCs w:val="20"/>
          <w:lang w:val="en-US" w:eastAsia="el-GR"/>
        </w:rPr>
        <w:lastRenderedPageBreak/>
        <w:t>and the wider macroeconomic impact, are expected to influence market trends and increase the risk of inflationary pressures.</w:t>
      </w:r>
    </w:p>
    <w:p w:rsidR="00520044" w:rsidRDefault="00520044" w:rsidP="00686946">
      <w:pPr>
        <w:spacing w:after="0" w:line="276" w:lineRule="auto"/>
        <w:jc w:val="both"/>
        <w:rPr>
          <w:rFonts w:ascii="Calibri" w:hAnsi="Calibri" w:cs="Arial"/>
          <w:bCs/>
          <w:sz w:val="20"/>
          <w:szCs w:val="20"/>
          <w:lang w:val="en-US" w:eastAsia="el-GR"/>
        </w:rPr>
      </w:pPr>
    </w:p>
    <w:p w:rsidR="00520044" w:rsidRDefault="00520044" w:rsidP="00686946">
      <w:pPr>
        <w:spacing w:after="0" w:line="276" w:lineRule="auto"/>
        <w:jc w:val="both"/>
        <w:rPr>
          <w:rFonts w:ascii="Calibri" w:hAnsi="Calibri" w:cs="Arial"/>
          <w:bCs/>
          <w:sz w:val="20"/>
          <w:szCs w:val="20"/>
          <w:lang w:val="en-US" w:eastAsia="el-GR"/>
        </w:rPr>
      </w:pPr>
      <w:r w:rsidRPr="00520044">
        <w:rPr>
          <w:rFonts w:ascii="Calibri" w:hAnsi="Calibri" w:cs="Arial"/>
          <w:bCs/>
          <w:sz w:val="20"/>
          <w:szCs w:val="20"/>
          <w:lang w:val="en-US" w:eastAsia="el-GR"/>
        </w:rPr>
        <w:t>The inelasticity of the product is expected to be a bulwark against these pressures, while the most vulnerable invoice category is the Industrial/Corporate one due to greater market exposure.</w:t>
      </w:r>
    </w:p>
    <w:p w:rsidR="00520044" w:rsidRDefault="00520044" w:rsidP="00686946">
      <w:pPr>
        <w:spacing w:after="0" w:line="276" w:lineRule="auto"/>
        <w:jc w:val="both"/>
        <w:rPr>
          <w:rFonts w:ascii="Calibri" w:hAnsi="Calibri" w:cs="Arial"/>
          <w:sz w:val="20"/>
          <w:szCs w:val="24"/>
          <w:lang w:val="en-US" w:eastAsia="el-GR"/>
        </w:rPr>
      </w:pPr>
    </w:p>
    <w:p w:rsidR="00686946" w:rsidRDefault="00520044" w:rsidP="00686946">
      <w:pPr>
        <w:spacing w:after="0" w:line="276" w:lineRule="auto"/>
        <w:jc w:val="both"/>
        <w:rPr>
          <w:rFonts w:ascii="Calibri" w:hAnsi="Calibri" w:cs="Arial"/>
          <w:sz w:val="20"/>
          <w:szCs w:val="24"/>
          <w:lang w:val="en-US" w:eastAsia="el-GR"/>
        </w:rPr>
      </w:pPr>
      <w:r w:rsidRPr="00520044">
        <w:rPr>
          <w:rFonts w:ascii="Calibri" w:hAnsi="Calibri" w:cs="Arial"/>
          <w:sz w:val="20"/>
          <w:szCs w:val="24"/>
          <w:lang w:val="en-US" w:eastAsia="el-GR"/>
        </w:rPr>
        <w:t>In addition, the geopolitical crisis is likely to negatively affect the course of construction projects of the investment program due to the inability of contractors to meet the increased prices of fuel, materials and raw materials.</w:t>
      </w:r>
    </w:p>
    <w:p w:rsidR="00686946" w:rsidRDefault="00686946" w:rsidP="00686946">
      <w:pPr>
        <w:spacing w:after="0" w:line="276" w:lineRule="auto"/>
        <w:jc w:val="both"/>
        <w:rPr>
          <w:rFonts w:ascii="Calibri" w:hAnsi="Calibri" w:cs="Arial"/>
          <w:bCs/>
          <w:sz w:val="20"/>
          <w:szCs w:val="20"/>
          <w:lang w:val="en-US" w:eastAsia="el-GR"/>
        </w:rPr>
      </w:pPr>
    </w:p>
    <w:p w:rsidR="00686946" w:rsidRPr="00520044" w:rsidRDefault="00520044" w:rsidP="00686946">
      <w:pPr>
        <w:spacing w:after="0" w:line="276" w:lineRule="auto"/>
        <w:jc w:val="both"/>
        <w:rPr>
          <w:rFonts w:ascii="Calibri" w:hAnsi="Calibri" w:cs="Arial"/>
          <w:bCs/>
          <w:sz w:val="20"/>
          <w:szCs w:val="20"/>
          <w:lang w:val="en-US" w:eastAsia="el-GR"/>
        </w:rPr>
      </w:pPr>
      <w:r w:rsidRPr="00F73506">
        <w:rPr>
          <w:rFonts w:ascii="Calibri" w:hAnsi="Calibri" w:cs="Arial"/>
          <w:b/>
          <w:bCs/>
          <w:sz w:val="20"/>
          <w:szCs w:val="20"/>
          <w:lang w:val="en-US" w:eastAsia="el-GR"/>
        </w:rPr>
        <w:t>The Company takes care of the adequacy of raw materials and is not expected to have a problem in the basic water supply and sewerage operations but also in general in its supply chain.</w:t>
      </w:r>
      <w:r w:rsidR="0057145C" w:rsidRPr="00F73506">
        <w:rPr>
          <w:rFonts w:ascii="Calibri" w:hAnsi="Calibri" w:cs="Arial"/>
          <w:b/>
          <w:bCs/>
          <w:sz w:val="20"/>
          <w:szCs w:val="20"/>
          <w:lang w:val="en-US" w:eastAsia="el-GR"/>
        </w:rPr>
        <w:t xml:space="preserve"> </w:t>
      </w:r>
      <w:r w:rsidRPr="00520044">
        <w:rPr>
          <w:rFonts w:ascii="Calibri" w:hAnsi="Calibri" w:cs="Arial"/>
          <w:bCs/>
          <w:sz w:val="20"/>
          <w:szCs w:val="20"/>
          <w:lang w:val="en-US" w:eastAsia="el-GR"/>
        </w:rPr>
        <w:t>Due to the volatility of the situation in Ukraine, it is not possible to accurately assess the economic impact. The management of the Company monitors the developments and evaluates possible further effects on its operation and results.</w:t>
      </w:r>
    </w:p>
    <w:p w:rsidR="00520044" w:rsidRDefault="00520044" w:rsidP="00686946">
      <w:pPr>
        <w:spacing w:after="0" w:line="276" w:lineRule="auto"/>
        <w:jc w:val="both"/>
        <w:rPr>
          <w:rFonts w:ascii="Calibri" w:hAnsi="Calibri" w:cs="Arial"/>
          <w:bCs/>
          <w:sz w:val="20"/>
          <w:szCs w:val="20"/>
          <w:lang w:val="en-US" w:eastAsia="el-GR"/>
        </w:rPr>
      </w:pPr>
      <w:r w:rsidRPr="00520044">
        <w:rPr>
          <w:rFonts w:ascii="Calibri" w:hAnsi="Calibri" w:cs="Arial"/>
          <w:bCs/>
          <w:sz w:val="20"/>
          <w:szCs w:val="20"/>
          <w:lang w:val="en-US" w:eastAsia="el-GR"/>
        </w:rPr>
        <w:t>The ongoing energy crisis combined with the geopolitical crisis in Ukraine has created an unfavorable situation regarding the increase in costs along the production chain.</w:t>
      </w:r>
      <w:r w:rsidRPr="00520044">
        <w:rPr>
          <w:lang w:val="en-US"/>
        </w:rPr>
        <w:t xml:space="preserve"> </w:t>
      </w:r>
      <w:r w:rsidRPr="00520044">
        <w:rPr>
          <w:rFonts w:ascii="Calibri" w:hAnsi="Calibri" w:cs="Arial"/>
          <w:bCs/>
          <w:sz w:val="20"/>
          <w:szCs w:val="20"/>
          <w:lang w:val="en-US" w:eastAsia="el-GR"/>
        </w:rPr>
        <w:t>Based on current prices and state subsidies, energy costs for 2022 are projected to reach 43.4 million euros, increased by 69.5%.</w:t>
      </w:r>
      <w:r w:rsidRPr="00520044">
        <w:rPr>
          <w:lang w:val="en-US"/>
        </w:rPr>
        <w:t xml:space="preserve"> </w:t>
      </w:r>
      <w:r w:rsidRPr="00520044">
        <w:rPr>
          <w:rFonts w:ascii="Calibri" w:hAnsi="Calibri" w:cs="Arial"/>
          <w:bCs/>
          <w:sz w:val="20"/>
          <w:szCs w:val="20"/>
          <w:lang w:val="en-US" w:eastAsia="el-GR"/>
        </w:rPr>
        <w:t>After the continuous price increases of electricity prices, and to reduce operating costs, EYDAP SA</w:t>
      </w:r>
      <w:r>
        <w:rPr>
          <w:rFonts w:ascii="Calibri" w:hAnsi="Calibri" w:cs="Arial"/>
          <w:bCs/>
          <w:sz w:val="20"/>
          <w:szCs w:val="20"/>
          <w:lang w:val="en-US" w:eastAsia="el-GR"/>
        </w:rPr>
        <w:t xml:space="preserve"> </w:t>
      </w:r>
      <w:r w:rsidR="00F73506">
        <w:rPr>
          <w:rFonts w:ascii="Calibri" w:hAnsi="Calibri" w:cs="Arial"/>
          <w:bCs/>
          <w:sz w:val="20"/>
          <w:szCs w:val="20"/>
          <w:lang w:val="en-US" w:eastAsia="el-GR"/>
        </w:rPr>
        <w:t>hurries:</w:t>
      </w:r>
    </w:p>
    <w:p w:rsidR="00520044" w:rsidRDefault="00520044" w:rsidP="00686946">
      <w:pPr>
        <w:spacing w:after="0" w:line="276" w:lineRule="auto"/>
        <w:jc w:val="both"/>
        <w:rPr>
          <w:rFonts w:ascii="Calibri" w:hAnsi="Calibri" w:cs="Arial"/>
          <w:bCs/>
          <w:sz w:val="20"/>
          <w:szCs w:val="20"/>
          <w:lang w:val="en-US" w:eastAsia="el-GR"/>
        </w:rPr>
      </w:pPr>
    </w:p>
    <w:p w:rsidR="00566B36" w:rsidRPr="00A27E71" w:rsidRDefault="00566B36" w:rsidP="00566B36">
      <w:pPr>
        <w:numPr>
          <w:ilvl w:val="0"/>
          <w:numId w:val="2"/>
        </w:numPr>
        <w:spacing w:after="0" w:line="276" w:lineRule="auto"/>
        <w:jc w:val="both"/>
        <w:rPr>
          <w:rFonts w:ascii="Calibri" w:hAnsi="Calibri" w:cs="Arial"/>
          <w:bCs/>
          <w:sz w:val="20"/>
          <w:szCs w:val="20"/>
          <w:lang w:val="en-US" w:eastAsia="el-GR"/>
        </w:rPr>
      </w:pPr>
      <w:r w:rsidRPr="00566B36">
        <w:rPr>
          <w:rFonts w:ascii="Calibri" w:hAnsi="Calibri" w:cs="Arial"/>
          <w:bCs/>
          <w:sz w:val="20"/>
          <w:szCs w:val="20"/>
          <w:lang w:val="en-US" w:eastAsia="el-GR"/>
        </w:rPr>
        <w:t>The studies and competitions in its energy-intensive facilities for the replacement of old machines, e</w:t>
      </w:r>
      <w:r w:rsidR="0057145C">
        <w:rPr>
          <w:rFonts w:ascii="Calibri" w:hAnsi="Calibri" w:cs="Arial"/>
          <w:bCs/>
          <w:sz w:val="20"/>
          <w:szCs w:val="20"/>
          <w:lang w:val="en-US" w:eastAsia="el-GR"/>
        </w:rPr>
        <w:t>.</w:t>
      </w:r>
      <w:r w:rsidRPr="00566B36">
        <w:rPr>
          <w:rFonts w:ascii="Calibri" w:hAnsi="Calibri" w:cs="Arial"/>
          <w:bCs/>
          <w:sz w:val="20"/>
          <w:szCs w:val="20"/>
          <w:lang w:val="en-US" w:eastAsia="el-GR"/>
        </w:rPr>
        <w:t>g</w:t>
      </w:r>
      <w:r w:rsidR="0057145C">
        <w:rPr>
          <w:rFonts w:ascii="Calibri" w:hAnsi="Calibri" w:cs="Arial"/>
          <w:bCs/>
          <w:sz w:val="20"/>
          <w:szCs w:val="20"/>
          <w:lang w:val="en-US" w:eastAsia="el-GR"/>
        </w:rPr>
        <w:t>.</w:t>
      </w:r>
      <w:r w:rsidRPr="00566B36">
        <w:rPr>
          <w:rFonts w:ascii="Calibri" w:hAnsi="Calibri" w:cs="Arial"/>
          <w:bCs/>
          <w:sz w:val="20"/>
          <w:szCs w:val="20"/>
          <w:lang w:val="en-US" w:eastAsia="el-GR"/>
        </w:rPr>
        <w:t xml:space="preserve"> pumps, with more energy efficient ones.</w:t>
      </w:r>
    </w:p>
    <w:p w:rsidR="00566B36" w:rsidRPr="00A27E71" w:rsidRDefault="00566B36" w:rsidP="00566B36">
      <w:pPr>
        <w:numPr>
          <w:ilvl w:val="0"/>
          <w:numId w:val="2"/>
        </w:numPr>
        <w:spacing w:after="0" w:line="276" w:lineRule="auto"/>
        <w:jc w:val="both"/>
        <w:rPr>
          <w:rFonts w:ascii="Calibri" w:hAnsi="Calibri" w:cs="Arial"/>
          <w:bCs/>
          <w:sz w:val="20"/>
          <w:szCs w:val="20"/>
          <w:lang w:val="en-US" w:eastAsia="el-GR"/>
        </w:rPr>
      </w:pPr>
      <w:r>
        <w:rPr>
          <w:rFonts w:ascii="Calibri" w:hAnsi="Calibri" w:cs="Arial"/>
          <w:bCs/>
          <w:sz w:val="20"/>
          <w:szCs w:val="20"/>
          <w:lang w:val="en-US" w:eastAsia="el-GR"/>
        </w:rPr>
        <w:t xml:space="preserve">The </w:t>
      </w:r>
      <w:r w:rsidRPr="00A27E71">
        <w:rPr>
          <w:rFonts w:ascii="Calibri" w:hAnsi="Calibri" w:cs="Arial"/>
          <w:bCs/>
          <w:sz w:val="20"/>
          <w:szCs w:val="20"/>
          <w:lang w:val="en-US" w:eastAsia="el-GR"/>
        </w:rPr>
        <w:t>install</w:t>
      </w:r>
      <w:r>
        <w:rPr>
          <w:rFonts w:ascii="Calibri" w:hAnsi="Calibri" w:cs="Arial"/>
          <w:bCs/>
          <w:sz w:val="20"/>
          <w:szCs w:val="20"/>
          <w:lang w:val="en-US" w:eastAsia="el-GR"/>
        </w:rPr>
        <w:t>ment of</w:t>
      </w:r>
      <w:r w:rsidRPr="00A27E71">
        <w:rPr>
          <w:rFonts w:ascii="Calibri" w:hAnsi="Calibri" w:cs="Arial"/>
          <w:bCs/>
          <w:sz w:val="20"/>
          <w:szCs w:val="20"/>
          <w:lang w:val="en-US" w:eastAsia="el-GR"/>
        </w:rPr>
        <w:t xml:space="preserve"> energy control systems (monitoring) of the facilities to improve their energy performance.</w:t>
      </w:r>
    </w:p>
    <w:p w:rsidR="00566B36" w:rsidRPr="00A27E71" w:rsidRDefault="00566B36" w:rsidP="00566B36">
      <w:pPr>
        <w:numPr>
          <w:ilvl w:val="0"/>
          <w:numId w:val="2"/>
        </w:numPr>
        <w:spacing w:after="0" w:line="276" w:lineRule="auto"/>
        <w:jc w:val="both"/>
        <w:rPr>
          <w:rFonts w:ascii="Calibri" w:hAnsi="Calibri" w:cs="Arial"/>
          <w:bCs/>
          <w:sz w:val="20"/>
          <w:szCs w:val="20"/>
          <w:lang w:val="en-US" w:eastAsia="el-GR"/>
        </w:rPr>
      </w:pPr>
      <w:r>
        <w:rPr>
          <w:rFonts w:ascii="Calibri" w:hAnsi="Calibri" w:cs="Arial"/>
          <w:bCs/>
          <w:sz w:val="20"/>
          <w:szCs w:val="20"/>
          <w:lang w:val="en-US" w:eastAsia="el-GR"/>
        </w:rPr>
        <w:t xml:space="preserve">The </w:t>
      </w:r>
      <w:r w:rsidRPr="00566B36">
        <w:rPr>
          <w:rFonts w:ascii="Calibri" w:hAnsi="Calibri" w:cs="Arial"/>
          <w:bCs/>
          <w:sz w:val="20"/>
          <w:szCs w:val="20"/>
          <w:lang w:val="en-US" w:eastAsia="el-GR"/>
        </w:rPr>
        <w:t>tender procedures for the creation of Photovoltaic Power stations with energy offset, to reduce the total consumption of electricity.</w:t>
      </w:r>
    </w:p>
    <w:p w:rsidR="00566B36" w:rsidRPr="00A27E71" w:rsidRDefault="00566B36" w:rsidP="00566B36">
      <w:pPr>
        <w:numPr>
          <w:ilvl w:val="0"/>
          <w:numId w:val="2"/>
        </w:numPr>
        <w:spacing w:after="0" w:line="276" w:lineRule="auto"/>
        <w:jc w:val="both"/>
        <w:rPr>
          <w:rFonts w:ascii="Calibri" w:hAnsi="Calibri" w:cs="Arial"/>
          <w:bCs/>
          <w:sz w:val="20"/>
          <w:szCs w:val="20"/>
          <w:lang w:val="en-US" w:eastAsia="el-GR"/>
        </w:rPr>
      </w:pPr>
      <w:r w:rsidRPr="00566B36">
        <w:rPr>
          <w:rFonts w:ascii="Calibri" w:hAnsi="Calibri" w:cs="Arial"/>
          <w:bCs/>
          <w:sz w:val="20"/>
          <w:szCs w:val="20"/>
          <w:lang w:val="en-US" w:eastAsia="el-GR"/>
        </w:rPr>
        <w:t>The replacement of the vehicle fleet with electric vehicles.</w:t>
      </w:r>
    </w:p>
    <w:p w:rsidR="00566B36" w:rsidRPr="00A27E71" w:rsidRDefault="00566B36" w:rsidP="00566B36">
      <w:pPr>
        <w:numPr>
          <w:ilvl w:val="0"/>
          <w:numId w:val="2"/>
        </w:numPr>
        <w:spacing w:after="0" w:line="276" w:lineRule="auto"/>
        <w:jc w:val="both"/>
        <w:rPr>
          <w:rFonts w:ascii="Calibri" w:hAnsi="Calibri" w:cs="Arial"/>
          <w:bCs/>
          <w:sz w:val="20"/>
          <w:szCs w:val="20"/>
          <w:lang w:val="en-US" w:eastAsia="el-GR"/>
        </w:rPr>
      </w:pPr>
      <w:r w:rsidRPr="00566B36">
        <w:rPr>
          <w:rFonts w:ascii="Calibri" w:hAnsi="Calibri" w:cs="Arial"/>
          <w:bCs/>
          <w:sz w:val="20"/>
          <w:szCs w:val="20"/>
          <w:lang w:val="en-US" w:eastAsia="el-GR"/>
        </w:rPr>
        <w:t xml:space="preserve">Achieving the zero carbon water </w:t>
      </w:r>
      <w:r>
        <w:rPr>
          <w:rFonts w:ascii="Calibri" w:hAnsi="Calibri" w:cs="Arial"/>
          <w:bCs/>
          <w:sz w:val="20"/>
          <w:szCs w:val="20"/>
          <w:lang w:val="en-US" w:eastAsia="el-GR"/>
        </w:rPr>
        <w:t>target</w:t>
      </w:r>
      <w:r w:rsidRPr="00566B36">
        <w:rPr>
          <w:rFonts w:ascii="Calibri" w:hAnsi="Calibri" w:cs="Arial"/>
          <w:bCs/>
          <w:sz w:val="20"/>
          <w:szCs w:val="20"/>
          <w:lang w:val="en-US" w:eastAsia="el-GR"/>
        </w:rPr>
        <w:t xml:space="preserve"> in 2030</w:t>
      </w:r>
    </w:p>
    <w:p w:rsidR="00686946" w:rsidRPr="00A27E71" w:rsidRDefault="00566B36" w:rsidP="00566B36">
      <w:pPr>
        <w:numPr>
          <w:ilvl w:val="0"/>
          <w:numId w:val="2"/>
        </w:numPr>
        <w:spacing w:after="0" w:line="276" w:lineRule="auto"/>
        <w:jc w:val="both"/>
        <w:rPr>
          <w:rFonts w:ascii="Calibri" w:hAnsi="Calibri" w:cs="Arial"/>
          <w:bCs/>
          <w:sz w:val="20"/>
          <w:szCs w:val="20"/>
          <w:lang w:val="en-US" w:eastAsia="el-GR"/>
        </w:rPr>
      </w:pPr>
      <w:r w:rsidRPr="00566B36">
        <w:rPr>
          <w:rFonts w:ascii="Calibri" w:hAnsi="Calibri" w:cs="Arial"/>
          <w:bCs/>
          <w:sz w:val="20"/>
          <w:szCs w:val="20"/>
          <w:lang w:val="en-US" w:eastAsia="el-GR"/>
        </w:rPr>
        <w:t xml:space="preserve">The reduction of natural gas consumption in WMC </w:t>
      </w:r>
      <w:proofErr w:type="spellStart"/>
      <w:r w:rsidRPr="00566B36">
        <w:rPr>
          <w:rFonts w:ascii="Calibri" w:hAnsi="Calibri" w:cs="Arial"/>
          <w:bCs/>
          <w:sz w:val="20"/>
          <w:szCs w:val="20"/>
          <w:lang w:val="en-US" w:eastAsia="el-GR"/>
        </w:rPr>
        <w:t>Psitalia</w:t>
      </w:r>
      <w:proofErr w:type="spellEnd"/>
      <w:r w:rsidRPr="00566B36">
        <w:rPr>
          <w:rFonts w:ascii="Calibri" w:hAnsi="Calibri" w:cs="Arial"/>
          <w:bCs/>
          <w:sz w:val="20"/>
          <w:szCs w:val="20"/>
          <w:lang w:val="en-US" w:eastAsia="el-GR"/>
        </w:rPr>
        <w:t xml:space="preserve"> by 80% in 2023</w:t>
      </w:r>
      <w:r w:rsidR="00686946" w:rsidRPr="00566B36">
        <w:rPr>
          <w:rFonts w:ascii="Calibri" w:hAnsi="Calibri" w:cs="Arial"/>
          <w:bCs/>
          <w:sz w:val="20"/>
          <w:szCs w:val="20"/>
          <w:lang w:val="en-US" w:eastAsia="el-GR"/>
        </w:rPr>
        <w:t>.</w:t>
      </w:r>
    </w:p>
    <w:p w:rsidR="00686946" w:rsidRPr="00566B36" w:rsidRDefault="00686946" w:rsidP="00686946">
      <w:pPr>
        <w:spacing w:after="0" w:line="276" w:lineRule="auto"/>
        <w:jc w:val="both"/>
        <w:rPr>
          <w:rFonts w:ascii="Calibri" w:hAnsi="Calibri" w:cs="Arial"/>
          <w:bCs/>
          <w:sz w:val="20"/>
          <w:szCs w:val="20"/>
          <w:lang w:val="en-US" w:eastAsia="el-GR"/>
        </w:rPr>
      </w:pPr>
    </w:p>
    <w:p w:rsidR="00686946" w:rsidRPr="00BD655B" w:rsidRDefault="00F73506" w:rsidP="00686946">
      <w:pPr>
        <w:spacing w:after="0" w:line="276" w:lineRule="auto"/>
        <w:jc w:val="both"/>
        <w:rPr>
          <w:rFonts w:ascii="Calibri" w:hAnsi="Calibri" w:cs="Arial"/>
          <w:b/>
          <w:bCs/>
          <w:sz w:val="20"/>
          <w:szCs w:val="20"/>
          <w:lang w:val="en-US" w:eastAsia="el-GR"/>
        </w:rPr>
      </w:pPr>
      <w:r>
        <w:rPr>
          <w:rFonts w:ascii="Calibri" w:hAnsi="Calibri" w:cs="Arial"/>
          <w:bCs/>
          <w:sz w:val="20"/>
          <w:szCs w:val="20"/>
          <w:lang w:val="en-US" w:eastAsia="el-GR"/>
        </w:rPr>
        <w:t xml:space="preserve">It is noted that </w:t>
      </w:r>
      <w:r w:rsidRPr="00AF066A">
        <w:rPr>
          <w:rFonts w:ascii="Calibri" w:hAnsi="Calibri" w:cs="Arial"/>
          <w:b/>
          <w:bCs/>
          <w:sz w:val="20"/>
          <w:szCs w:val="20"/>
          <w:lang w:val="en-US" w:eastAsia="el-GR"/>
        </w:rPr>
        <w:t>t</w:t>
      </w:r>
      <w:r w:rsidR="00566B36" w:rsidRPr="00AF066A">
        <w:rPr>
          <w:rFonts w:ascii="Calibri" w:hAnsi="Calibri" w:cs="Arial"/>
          <w:b/>
          <w:bCs/>
          <w:sz w:val="20"/>
          <w:szCs w:val="20"/>
          <w:lang w:val="en-US" w:eastAsia="el-GR"/>
        </w:rPr>
        <w:t xml:space="preserve">he contribution of </w:t>
      </w:r>
      <w:r w:rsidRPr="00AF066A">
        <w:rPr>
          <w:rFonts w:ascii="Calibri" w:hAnsi="Calibri" w:cs="Arial"/>
          <w:b/>
          <w:bCs/>
          <w:sz w:val="20"/>
          <w:szCs w:val="20"/>
          <w:lang w:val="en-US" w:eastAsia="el-GR"/>
        </w:rPr>
        <w:t>Renewable Energy Sources (</w:t>
      </w:r>
      <w:r w:rsidR="00566B36" w:rsidRPr="00AF066A">
        <w:rPr>
          <w:rFonts w:ascii="Calibri" w:hAnsi="Calibri" w:cs="Arial"/>
          <w:b/>
          <w:bCs/>
          <w:sz w:val="20"/>
          <w:szCs w:val="20"/>
          <w:lang w:val="en-US" w:eastAsia="el-GR"/>
        </w:rPr>
        <w:t>RES</w:t>
      </w:r>
      <w:r w:rsidRPr="00AF066A">
        <w:rPr>
          <w:rFonts w:ascii="Calibri" w:hAnsi="Calibri" w:cs="Arial"/>
          <w:b/>
          <w:bCs/>
          <w:sz w:val="20"/>
          <w:szCs w:val="20"/>
          <w:lang w:val="en-US" w:eastAsia="el-GR"/>
        </w:rPr>
        <w:t>)</w:t>
      </w:r>
      <w:r w:rsidR="00566B36" w:rsidRPr="00AF066A">
        <w:rPr>
          <w:rFonts w:ascii="Calibri" w:hAnsi="Calibri" w:cs="Arial"/>
          <w:b/>
          <w:bCs/>
          <w:sz w:val="20"/>
          <w:szCs w:val="20"/>
          <w:lang w:val="en-US" w:eastAsia="el-GR"/>
        </w:rPr>
        <w:t xml:space="preserve"> to the total consumption</w:t>
      </w:r>
      <w:r w:rsidR="00BC7A6F" w:rsidRPr="00AF066A">
        <w:rPr>
          <w:rFonts w:ascii="Calibri" w:hAnsi="Calibri" w:cs="Arial"/>
          <w:b/>
          <w:bCs/>
          <w:sz w:val="20"/>
          <w:szCs w:val="20"/>
          <w:lang w:val="en-US" w:eastAsia="el-GR"/>
        </w:rPr>
        <w:t xml:space="preserve"> is at</w:t>
      </w:r>
      <w:r w:rsidR="00566B36" w:rsidRPr="00AF066A">
        <w:rPr>
          <w:rFonts w:ascii="Calibri" w:hAnsi="Calibri" w:cs="Arial"/>
          <w:b/>
          <w:bCs/>
          <w:sz w:val="20"/>
          <w:szCs w:val="20"/>
          <w:lang w:val="en-US" w:eastAsia="el-GR"/>
        </w:rPr>
        <w:t xml:space="preserve"> 47.5%</w:t>
      </w:r>
      <w:r w:rsidR="00BD655B" w:rsidRPr="00AF066A">
        <w:rPr>
          <w:rFonts w:ascii="Calibri" w:hAnsi="Calibri" w:cs="Arial"/>
          <w:b/>
          <w:bCs/>
          <w:sz w:val="20"/>
          <w:szCs w:val="20"/>
          <w:lang w:val="en-US" w:eastAsia="el-GR"/>
        </w:rPr>
        <w:t>.</w:t>
      </w:r>
    </w:p>
    <w:p w:rsidR="00BC7A6F" w:rsidRPr="00BC7A6F" w:rsidRDefault="00BC7A6F" w:rsidP="00686946">
      <w:pPr>
        <w:spacing w:after="0" w:line="276" w:lineRule="auto"/>
        <w:jc w:val="both"/>
        <w:rPr>
          <w:rFonts w:ascii="Calibri" w:hAnsi="Calibri" w:cs="Arial"/>
          <w:bCs/>
          <w:sz w:val="20"/>
          <w:szCs w:val="20"/>
          <w:lang w:val="en-US" w:eastAsia="el-GR"/>
        </w:rPr>
      </w:pPr>
    </w:p>
    <w:p w:rsidR="00BC7A6F" w:rsidRDefault="00BC7A6F" w:rsidP="00686946">
      <w:pPr>
        <w:spacing w:after="0" w:line="276" w:lineRule="auto"/>
        <w:jc w:val="both"/>
        <w:rPr>
          <w:rFonts w:ascii="Calibri" w:hAnsi="Calibri" w:cs="Arial"/>
          <w:bCs/>
          <w:sz w:val="20"/>
          <w:szCs w:val="20"/>
          <w:u w:val="single"/>
          <w:lang w:val="en-US" w:eastAsia="el-GR"/>
        </w:rPr>
      </w:pPr>
      <w:r w:rsidRPr="00BC7A6F">
        <w:rPr>
          <w:rFonts w:ascii="Calibri" w:hAnsi="Calibri" w:cs="Arial"/>
          <w:bCs/>
          <w:sz w:val="20"/>
          <w:szCs w:val="20"/>
          <w:u w:val="single"/>
          <w:lang w:val="en-US" w:eastAsia="el-GR"/>
        </w:rPr>
        <w:t>Impact of the Covid-19 Pandemic</w:t>
      </w:r>
      <w:r w:rsidR="00F73506">
        <w:rPr>
          <w:rFonts w:ascii="Calibri" w:hAnsi="Calibri" w:cs="Arial"/>
          <w:bCs/>
          <w:sz w:val="20"/>
          <w:szCs w:val="20"/>
          <w:u w:val="single"/>
          <w:lang w:val="en-US" w:eastAsia="el-GR"/>
        </w:rPr>
        <w:t xml:space="preserve"> </w:t>
      </w:r>
    </w:p>
    <w:p w:rsidR="00BC7A6F" w:rsidRDefault="00BC7A6F" w:rsidP="00686946">
      <w:pPr>
        <w:spacing w:after="0" w:line="276" w:lineRule="auto"/>
        <w:jc w:val="both"/>
        <w:rPr>
          <w:rFonts w:ascii="Calibri" w:hAnsi="Calibri" w:cs="Arial"/>
          <w:bCs/>
          <w:sz w:val="20"/>
          <w:szCs w:val="20"/>
          <w:lang w:val="en-US" w:eastAsia="el-GR"/>
        </w:rPr>
      </w:pPr>
    </w:p>
    <w:p w:rsidR="00BC7A6F" w:rsidRDefault="00BC7A6F" w:rsidP="00686946">
      <w:pPr>
        <w:spacing w:after="0" w:line="276" w:lineRule="auto"/>
        <w:jc w:val="both"/>
        <w:rPr>
          <w:rFonts w:ascii="Calibri" w:hAnsi="Calibri" w:cs="Arial"/>
          <w:bCs/>
          <w:sz w:val="20"/>
          <w:szCs w:val="20"/>
          <w:lang w:val="en-US" w:eastAsia="el-GR"/>
        </w:rPr>
      </w:pPr>
      <w:r w:rsidRPr="00BC7A6F">
        <w:rPr>
          <w:rFonts w:ascii="Calibri" w:hAnsi="Calibri" w:cs="Arial"/>
          <w:bCs/>
          <w:sz w:val="20"/>
          <w:szCs w:val="20"/>
          <w:lang w:val="en-US" w:eastAsia="el-GR"/>
        </w:rPr>
        <w:t>Regarding the management of the pandemic, the Management of the company from the beginning of the pandemic, monitors the developments, evaluates the risks and takes the necessary actions to continue its smooth operation, the service of its customers and the protection of its human resources.</w:t>
      </w:r>
      <w:r w:rsidRPr="00BC7A6F">
        <w:rPr>
          <w:lang w:val="en-US"/>
        </w:rPr>
        <w:t xml:space="preserve"> </w:t>
      </w:r>
      <w:r w:rsidRPr="00BC7A6F">
        <w:rPr>
          <w:rFonts w:ascii="Calibri" w:hAnsi="Calibri" w:cs="Arial"/>
          <w:bCs/>
          <w:sz w:val="20"/>
          <w:szCs w:val="20"/>
          <w:lang w:val="en-US" w:eastAsia="el-GR"/>
        </w:rPr>
        <w:t>With the exception of the temporary reduction of revenues during the first months of the pandemic, EYDAP did not face any particular problems in the management while there were no overall effects on the Company's activities and the supply of materials from the spread of covid-19.</w:t>
      </w:r>
    </w:p>
    <w:p w:rsidR="00686946" w:rsidRDefault="00BC7A6F" w:rsidP="00686946">
      <w:pPr>
        <w:spacing w:after="0" w:line="276" w:lineRule="auto"/>
        <w:jc w:val="both"/>
        <w:rPr>
          <w:rFonts w:ascii="Calibri" w:hAnsi="Calibri" w:cs="Arial"/>
          <w:bCs/>
          <w:sz w:val="20"/>
          <w:szCs w:val="20"/>
          <w:lang w:val="en-US" w:eastAsia="el-GR"/>
        </w:rPr>
      </w:pPr>
      <w:r w:rsidRPr="00BC7A6F">
        <w:rPr>
          <w:rFonts w:ascii="Calibri" w:hAnsi="Calibri" w:cs="Arial"/>
          <w:bCs/>
          <w:sz w:val="20"/>
          <w:szCs w:val="20"/>
          <w:lang w:val="en-US" w:eastAsia="el-GR"/>
        </w:rPr>
        <w:t xml:space="preserve">EYDAP </w:t>
      </w:r>
      <w:r>
        <w:rPr>
          <w:rFonts w:ascii="Calibri" w:hAnsi="Calibri" w:cs="Arial"/>
          <w:bCs/>
          <w:sz w:val="20"/>
          <w:szCs w:val="20"/>
          <w:lang w:val="en-US" w:eastAsia="el-GR"/>
        </w:rPr>
        <w:t xml:space="preserve">also </w:t>
      </w:r>
      <w:r w:rsidRPr="00BC7A6F">
        <w:rPr>
          <w:rFonts w:ascii="Calibri" w:hAnsi="Calibri" w:cs="Arial"/>
          <w:bCs/>
          <w:sz w:val="20"/>
          <w:szCs w:val="20"/>
          <w:lang w:val="en-US" w:eastAsia="el-GR"/>
        </w:rPr>
        <w:t>proceeded to donat</w:t>
      </w:r>
      <w:r>
        <w:rPr>
          <w:rFonts w:ascii="Calibri" w:hAnsi="Calibri" w:cs="Arial"/>
          <w:bCs/>
          <w:sz w:val="20"/>
          <w:szCs w:val="20"/>
          <w:lang w:val="en-US" w:eastAsia="el-GR"/>
        </w:rPr>
        <w:t>ion of</w:t>
      </w:r>
      <w:r w:rsidRPr="00BC7A6F">
        <w:rPr>
          <w:rFonts w:ascii="Calibri" w:hAnsi="Calibri" w:cs="Arial"/>
          <w:bCs/>
          <w:sz w:val="20"/>
          <w:szCs w:val="20"/>
          <w:lang w:val="en-US" w:eastAsia="el-GR"/>
        </w:rPr>
        <w:t xml:space="preserve"> equipment worth 2 million euros</w:t>
      </w:r>
      <w:r>
        <w:rPr>
          <w:rFonts w:ascii="Calibri" w:hAnsi="Calibri" w:cs="Arial"/>
          <w:bCs/>
          <w:sz w:val="20"/>
          <w:szCs w:val="20"/>
          <w:lang w:val="en-US" w:eastAsia="el-GR"/>
        </w:rPr>
        <w:t>,</w:t>
      </w:r>
      <w:r w:rsidRPr="00BC7A6F">
        <w:rPr>
          <w:rFonts w:ascii="Calibri" w:hAnsi="Calibri" w:cs="Arial"/>
          <w:bCs/>
          <w:sz w:val="20"/>
          <w:szCs w:val="20"/>
          <w:lang w:val="en-US" w:eastAsia="el-GR"/>
        </w:rPr>
        <w:t xml:space="preserve"> to the "</w:t>
      </w:r>
      <w:proofErr w:type="spellStart"/>
      <w:r w:rsidRPr="00BC7A6F">
        <w:rPr>
          <w:rFonts w:ascii="Calibri" w:hAnsi="Calibri" w:cs="Arial"/>
          <w:bCs/>
          <w:sz w:val="20"/>
          <w:szCs w:val="20"/>
          <w:lang w:val="en-US" w:eastAsia="el-GR"/>
        </w:rPr>
        <w:t>Attikon</w:t>
      </w:r>
      <w:proofErr w:type="spellEnd"/>
      <w:r w:rsidRPr="00BC7A6F">
        <w:rPr>
          <w:rFonts w:ascii="Calibri" w:hAnsi="Calibri" w:cs="Arial"/>
          <w:bCs/>
          <w:sz w:val="20"/>
          <w:szCs w:val="20"/>
          <w:lang w:val="en-US" w:eastAsia="el-GR"/>
        </w:rPr>
        <w:t>" and "</w:t>
      </w:r>
      <w:proofErr w:type="spellStart"/>
      <w:r w:rsidRPr="00BC7A6F">
        <w:rPr>
          <w:rFonts w:ascii="Calibri" w:hAnsi="Calibri" w:cs="Arial"/>
          <w:bCs/>
          <w:sz w:val="20"/>
          <w:szCs w:val="20"/>
          <w:lang w:val="en-US" w:eastAsia="el-GR"/>
        </w:rPr>
        <w:t>Sotiria</w:t>
      </w:r>
      <w:proofErr w:type="spellEnd"/>
      <w:r w:rsidRPr="00BC7A6F">
        <w:rPr>
          <w:rFonts w:ascii="Calibri" w:hAnsi="Calibri" w:cs="Arial"/>
          <w:bCs/>
          <w:sz w:val="20"/>
          <w:szCs w:val="20"/>
          <w:lang w:val="en-US" w:eastAsia="el-GR"/>
        </w:rPr>
        <w:t>" hospitals.</w:t>
      </w:r>
    </w:p>
    <w:p w:rsidR="00BC7A6F" w:rsidRPr="00BC7A6F" w:rsidRDefault="00BC7A6F" w:rsidP="00686946">
      <w:pPr>
        <w:spacing w:after="0" w:line="276" w:lineRule="auto"/>
        <w:jc w:val="both"/>
        <w:rPr>
          <w:rFonts w:ascii="Calibri" w:hAnsi="Calibri" w:cs="Arial"/>
          <w:bCs/>
          <w:sz w:val="20"/>
          <w:szCs w:val="20"/>
          <w:lang w:val="en-US" w:eastAsia="el-GR"/>
        </w:rPr>
      </w:pPr>
    </w:p>
    <w:p w:rsidR="00686946" w:rsidRDefault="00BC7A6F" w:rsidP="00686946">
      <w:pPr>
        <w:spacing w:after="0" w:line="276" w:lineRule="auto"/>
        <w:jc w:val="both"/>
        <w:rPr>
          <w:rFonts w:ascii="Calibri" w:hAnsi="Calibri" w:cs="Arial"/>
          <w:bCs/>
          <w:sz w:val="20"/>
          <w:szCs w:val="20"/>
          <w:lang w:val="en-US" w:eastAsia="el-GR"/>
        </w:rPr>
      </w:pPr>
      <w:r w:rsidRPr="00BC7A6F">
        <w:rPr>
          <w:rFonts w:ascii="Calibri" w:hAnsi="Calibri" w:cs="Arial"/>
          <w:bCs/>
          <w:sz w:val="20"/>
          <w:szCs w:val="20"/>
          <w:lang w:val="en-US" w:eastAsia="el-GR"/>
        </w:rPr>
        <w:lastRenderedPageBreak/>
        <w:t>"</w:t>
      </w:r>
      <w:r w:rsidRPr="00BC7A6F">
        <w:rPr>
          <w:rFonts w:ascii="Calibri" w:hAnsi="Calibri" w:cs="Arial"/>
          <w:bCs/>
          <w:i/>
          <w:sz w:val="20"/>
          <w:szCs w:val="20"/>
          <w:lang w:val="en-US" w:eastAsia="el-GR"/>
        </w:rPr>
        <w:t>2021 was a milestone year for the Company</w:t>
      </w:r>
      <w:r w:rsidRPr="00BC7A6F">
        <w:rPr>
          <w:rFonts w:ascii="Calibri" w:hAnsi="Calibri" w:cs="Arial"/>
          <w:bCs/>
          <w:sz w:val="20"/>
          <w:szCs w:val="20"/>
          <w:lang w:val="en-US" w:eastAsia="el-GR"/>
        </w:rPr>
        <w:t xml:space="preserve">", says in a statement the CEO of EYDAP Mr. </w:t>
      </w:r>
      <w:proofErr w:type="spellStart"/>
      <w:r>
        <w:rPr>
          <w:rFonts w:ascii="Calibri" w:hAnsi="Calibri" w:cs="Arial"/>
          <w:bCs/>
          <w:sz w:val="20"/>
          <w:szCs w:val="20"/>
          <w:lang w:val="en-US" w:eastAsia="el-GR"/>
        </w:rPr>
        <w:t>Charalampos</w:t>
      </w:r>
      <w:proofErr w:type="spellEnd"/>
      <w:r w:rsidRPr="00BC7A6F">
        <w:rPr>
          <w:rFonts w:ascii="Calibri" w:hAnsi="Calibri" w:cs="Arial"/>
          <w:bCs/>
          <w:sz w:val="20"/>
          <w:szCs w:val="20"/>
          <w:lang w:val="en-US" w:eastAsia="el-GR"/>
        </w:rPr>
        <w:t xml:space="preserve"> </w:t>
      </w:r>
      <w:proofErr w:type="spellStart"/>
      <w:r w:rsidRPr="00BC7A6F">
        <w:rPr>
          <w:rFonts w:ascii="Calibri" w:hAnsi="Calibri" w:cs="Arial"/>
          <w:bCs/>
          <w:sz w:val="20"/>
          <w:szCs w:val="20"/>
          <w:lang w:val="en-US" w:eastAsia="el-GR"/>
        </w:rPr>
        <w:t>Sachinis</w:t>
      </w:r>
      <w:proofErr w:type="spellEnd"/>
      <w:r w:rsidRPr="00BC7A6F">
        <w:rPr>
          <w:rFonts w:ascii="Calibri" w:hAnsi="Calibri" w:cs="Arial"/>
          <w:bCs/>
          <w:sz w:val="20"/>
          <w:szCs w:val="20"/>
          <w:lang w:val="en-US" w:eastAsia="el-GR"/>
        </w:rPr>
        <w:t>, during the announcement of the financial results of 2021. The statement is as follows:</w:t>
      </w:r>
    </w:p>
    <w:p w:rsidR="00BC7A6F" w:rsidRPr="00BC7A6F" w:rsidRDefault="00BC7A6F" w:rsidP="00686946">
      <w:pPr>
        <w:spacing w:after="0" w:line="276" w:lineRule="auto"/>
        <w:jc w:val="both"/>
        <w:rPr>
          <w:rFonts w:ascii="Calibri" w:hAnsi="Calibri" w:cs="Arial"/>
          <w:bCs/>
          <w:sz w:val="20"/>
          <w:szCs w:val="20"/>
          <w:lang w:val="en-US" w:eastAsia="el-GR"/>
        </w:rPr>
      </w:pPr>
    </w:p>
    <w:p w:rsidR="00686946" w:rsidRPr="00F73506" w:rsidRDefault="00686946" w:rsidP="00686946">
      <w:pPr>
        <w:spacing w:after="0" w:line="276" w:lineRule="auto"/>
        <w:jc w:val="both"/>
        <w:rPr>
          <w:rFonts w:ascii="Calibri" w:hAnsi="Calibri" w:cs="Arial"/>
          <w:b/>
          <w:bCs/>
          <w:i/>
          <w:iCs/>
          <w:sz w:val="20"/>
          <w:szCs w:val="20"/>
          <w:lang w:val="en-US" w:eastAsia="el-GR"/>
        </w:rPr>
      </w:pPr>
      <w:r w:rsidRPr="00BC7A6F">
        <w:rPr>
          <w:rFonts w:ascii="Calibri" w:hAnsi="Calibri" w:cs="Arial"/>
          <w:bCs/>
          <w:sz w:val="20"/>
          <w:szCs w:val="20"/>
          <w:lang w:val="en-US" w:eastAsia="el-GR"/>
        </w:rPr>
        <w:t>«</w:t>
      </w:r>
      <w:r w:rsidR="00F73506" w:rsidRPr="00F73506">
        <w:rPr>
          <w:rFonts w:ascii="Calibri" w:hAnsi="Calibri" w:cs="Arial"/>
          <w:b/>
          <w:bCs/>
          <w:i/>
          <w:iCs/>
          <w:sz w:val="20"/>
          <w:szCs w:val="20"/>
          <w:lang w:val="en-US" w:eastAsia="el-GR"/>
        </w:rPr>
        <w:t xml:space="preserve">The 20-year exclusive right to provide water supply and sewerage services in combination with the large transformation and investment program that is being implemented, </w:t>
      </w:r>
      <w:r w:rsidR="00BD655B" w:rsidRPr="00AF066A">
        <w:rPr>
          <w:rFonts w:ascii="Calibri" w:hAnsi="Calibri" w:cs="Arial"/>
          <w:b/>
          <w:bCs/>
          <w:i/>
          <w:iCs/>
          <w:sz w:val="20"/>
          <w:szCs w:val="20"/>
          <w:lang w:val="en-US" w:eastAsia="el-GR"/>
        </w:rPr>
        <w:t>place</w:t>
      </w:r>
      <w:r w:rsidR="00F73506" w:rsidRPr="00F73506">
        <w:rPr>
          <w:rFonts w:ascii="Calibri" w:hAnsi="Calibri" w:cs="Arial"/>
          <w:b/>
          <w:bCs/>
          <w:i/>
          <w:iCs/>
          <w:sz w:val="20"/>
          <w:szCs w:val="20"/>
          <w:lang w:val="en-US" w:eastAsia="el-GR"/>
        </w:rPr>
        <w:t xml:space="preserve"> EYDAP on a new growth trajectory, a fact that will benefit consumers, employees and shareholders.</w:t>
      </w:r>
    </w:p>
    <w:p w:rsidR="00F73506" w:rsidRDefault="00F73506" w:rsidP="00686946">
      <w:pPr>
        <w:spacing w:after="0" w:line="276" w:lineRule="auto"/>
        <w:jc w:val="both"/>
        <w:rPr>
          <w:rFonts w:ascii="Calibri" w:hAnsi="Calibri" w:cs="Arial"/>
          <w:bCs/>
          <w:i/>
          <w:iCs/>
          <w:sz w:val="20"/>
          <w:szCs w:val="20"/>
          <w:lang w:val="en-US" w:eastAsia="el-GR"/>
        </w:rPr>
      </w:pPr>
      <w:r w:rsidRPr="00F73506">
        <w:rPr>
          <w:rFonts w:ascii="Calibri" w:hAnsi="Calibri" w:cs="Arial"/>
          <w:bCs/>
          <w:i/>
          <w:iCs/>
          <w:sz w:val="20"/>
          <w:szCs w:val="20"/>
          <w:lang w:val="en-US" w:eastAsia="el-GR"/>
        </w:rPr>
        <w:t>We managed to settle long-standing issues that bound EYDAP and were a brake on its development. The signing of the two contracts for the renewal of the exclusive right and operation of the External Water Supply System, gives the opportunity to implement the demanding strategic plan that we have prepared</w:t>
      </w:r>
      <w:r>
        <w:rPr>
          <w:rFonts w:ascii="Calibri" w:hAnsi="Calibri" w:cs="Arial"/>
          <w:bCs/>
          <w:i/>
          <w:iCs/>
          <w:sz w:val="20"/>
          <w:szCs w:val="20"/>
          <w:lang w:val="en-US" w:eastAsia="el-GR"/>
        </w:rPr>
        <w:t>.</w:t>
      </w:r>
    </w:p>
    <w:p w:rsidR="00686946" w:rsidRPr="00BC7A6F" w:rsidRDefault="00F73506" w:rsidP="00686946">
      <w:pPr>
        <w:spacing w:after="0" w:line="276" w:lineRule="auto"/>
        <w:jc w:val="both"/>
        <w:rPr>
          <w:rFonts w:ascii="Calibri" w:hAnsi="Calibri" w:cs="Arial"/>
          <w:bCs/>
          <w:sz w:val="20"/>
          <w:szCs w:val="20"/>
          <w:lang w:val="en-US" w:eastAsia="el-GR"/>
        </w:rPr>
      </w:pPr>
      <w:r w:rsidRPr="00F73506">
        <w:rPr>
          <w:rFonts w:ascii="Calibri" w:hAnsi="Calibri" w:cs="Arial"/>
          <w:b/>
          <w:bCs/>
          <w:i/>
          <w:iCs/>
          <w:sz w:val="20"/>
          <w:szCs w:val="20"/>
          <w:lang w:val="en-US" w:eastAsia="el-GR"/>
        </w:rPr>
        <w:t>For 2022, we are focusing on streamlining operating costs, accelerating the implementation of the investment program, improving the services provided, expanding the activities and the customer base, and we will consider participating in activities outside the area of competence if relevant legislation is made. All this contributes to an overall dynamic course for EYDAP</w:t>
      </w:r>
      <w:r w:rsidR="00686946" w:rsidRPr="00BC7A6F">
        <w:rPr>
          <w:rFonts w:ascii="Calibri" w:hAnsi="Calibri" w:cs="Arial"/>
          <w:bCs/>
          <w:sz w:val="20"/>
          <w:szCs w:val="20"/>
          <w:lang w:val="en-US" w:eastAsia="el-GR"/>
        </w:rPr>
        <w:t xml:space="preserve">». </w:t>
      </w:r>
    </w:p>
    <w:p w:rsidR="00686946" w:rsidRPr="00BC7A6F" w:rsidRDefault="00686946" w:rsidP="00686946">
      <w:pPr>
        <w:spacing w:after="0" w:line="276" w:lineRule="auto"/>
        <w:jc w:val="both"/>
        <w:rPr>
          <w:rFonts w:ascii="Calibri" w:hAnsi="Calibri" w:cs="Arial"/>
          <w:bCs/>
          <w:sz w:val="20"/>
          <w:szCs w:val="20"/>
          <w:lang w:val="en-US" w:eastAsia="el-GR"/>
        </w:rPr>
      </w:pPr>
    </w:p>
    <w:p w:rsidR="00686946" w:rsidRPr="00BC7A6F" w:rsidRDefault="00686946" w:rsidP="00686946">
      <w:pPr>
        <w:ind w:left="720"/>
        <w:rPr>
          <w:color w:val="FF0000"/>
          <w:lang w:val="en-US"/>
        </w:rPr>
      </w:pPr>
    </w:p>
    <w:p w:rsidR="00686946" w:rsidRPr="00BC7A6F" w:rsidRDefault="00686946" w:rsidP="00686946">
      <w:pPr>
        <w:ind w:left="720"/>
        <w:rPr>
          <w:lang w:val="en-US"/>
        </w:rPr>
      </w:pPr>
    </w:p>
    <w:p w:rsidR="00686946" w:rsidRPr="00BC7A6F" w:rsidRDefault="00686946" w:rsidP="00686946">
      <w:pPr>
        <w:spacing w:after="0" w:line="276" w:lineRule="auto"/>
        <w:jc w:val="both"/>
        <w:rPr>
          <w:rFonts w:ascii="Calibri" w:hAnsi="Calibri" w:cs="Arial"/>
          <w:bCs/>
          <w:sz w:val="20"/>
          <w:szCs w:val="20"/>
          <w:lang w:val="en-US" w:eastAsia="el-GR"/>
        </w:rPr>
      </w:pPr>
    </w:p>
    <w:p w:rsidR="00686946" w:rsidRPr="00BC7A6F" w:rsidRDefault="00686946" w:rsidP="00686946">
      <w:pPr>
        <w:spacing w:after="0" w:line="276" w:lineRule="auto"/>
        <w:jc w:val="both"/>
        <w:rPr>
          <w:rFonts w:ascii="Calibri" w:hAnsi="Calibri" w:cs="Arial"/>
          <w:bCs/>
          <w:sz w:val="20"/>
          <w:szCs w:val="20"/>
          <w:lang w:val="en-US" w:eastAsia="el-GR"/>
        </w:rPr>
      </w:pPr>
    </w:p>
    <w:p w:rsidR="00BC7A6F" w:rsidRPr="00BC7A6F" w:rsidRDefault="00BC7A6F" w:rsidP="00BC7A6F">
      <w:pPr>
        <w:rPr>
          <w:rFonts w:ascii="Calibri" w:hAnsi="Calibri" w:cs="Arial"/>
          <w:bCs/>
          <w:sz w:val="20"/>
          <w:szCs w:val="20"/>
          <w:lang w:val="en-US" w:eastAsia="el-GR"/>
        </w:rPr>
      </w:pPr>
      <w:r w:rsidRPr="00BC7A6F">
        <w:rPr>
          <w:rFonts w:ascii="Calibri" w:hAnsi="Calibri" w:cs="Arial"/>
          <w:bCs/>
          <w:sz w:val="20"/>
          <w:szCs w:val="20"/>
          <w:lang w:val="en-US" w:eastAsia="el-GR"/>
        </w:rPr>
        <w:t>The Annual Financial Report and the Data and Information for the Year 202</w:t>
      </w:r>
      <w:r>
        <w:rPr>
          <w:rFonts w:ascii="Calibri" w:hAnsi="Calibri" w:cs="Arial"/>
          <w:bCs/>
          <w:sz w:val="20"/>
          <w:szCs w:val="20"/>
          <w:lang w:val="en-US" w:eastAsia="el-GR"/>
        </w:rPr>
        <w:t xml:space="preserve">1 </w:t>
      </w:r>
      <w:r w:rsidRPr="00BC7A6F">
        <w:rPr>
          <w:rFonts w:ascii="Calibri" w:hAnsi="Calibri" w:cs="Arial"/>
          <w:bCs/>
          <w:sz w:val="20"/>
          <w:szCs w:val="20"/>
          <w:lang w:val="en-US" w:eastAsia="el-GR"/>
        </w:rPr>
        <w:t xml:space="preserve">are posted on the corporate website </w:t>
      </w:r>
      <w:hyperlink r:id="rId8" w:history="1">
        <w:r w:rsidRPr="00BC7A6F">
          <w:rPr>
            <w:rStyle w:val="Hyperlink"/>
            <w:rFonts w:ascii="Calibri" w:hAnsi="Calibri" w:cs="Arial"/>
            <w:bCs/>
            <w:sz w:val="20"/>
            <w:szCs w:val="20"/>
            <w:lang w:val="en-US" w:eastAsia="el-GR"/>
          </w:rPr>
          <w:t>www.eydap.gr</w:t>
        </w:r>
      </w:hyperlink>
    </w:p>
    <w:p w:rsidR="008C0A58" w:rsidRPr="00BC7A6F" w:rsidRDefault="00BC7A6F" w:rsidP="00BC7A6F">
      <w:pPr>
        <w:rPr>
          <w:lang w:val="en-US"/>
        </w:rPr>
      </w:pPr>
      <w:r w:rsidRPr="00BC7A6F">
        <w:rPr>
          <w:rFonts w:ascii="Calibri" w:hAnsi="Calibri" w:cs="Arial"/>
          <w:bCs/>
          <w:sz w:val="20"/>
          <w:szCs w:val="20"/>
          <w:lang w:val="en-US" w:eastAsia="el-GR"/>
        </w:rPr>
        <w:t xml:space="preserve"> * Alternative performance measurement indicator. See section Alternative performance measurement indicators in the annual financial report 202</w:t>
      </w:r>
      <w:r>
        <w:rPr>
          <w:rFonts w:ascii="Calibri" w:hAnsi="Calibri" w:cs="Arial"/>
          <w:bCs/>
          <w:sz w:val="20"/>
          <w:szCs w:val="20"/>
          <w:lang w:val="en-US" w:eastAsia="el-GR"/>
        </w:rPr>
        <w:t>1</w:t>
      </w:r>
      <w:r w:rsidRPr="00BC7A6F">
        <w:rPr>
          <w:rFonts w:ascii="Calibri" w:hAnsi="Calibri" w:cs="Arial"/>
          <w:bCs/>
          <w:sz w:val="20"/>
          <w:szCs w:val="20"/>
          <w:lang w:val="en-US" w:eastAsia="el-GR"/>
        </w:rPr>
        <w:t xml:space="preserve"> which is posted on the corporate website </w:t>
      </w:r>
      <w:hyperlink r:id="rId9" w:history="1">
        <w:r w:rsidRPr="00BC7A6F">
          <w:rPr>
            <w:rStyle w:val="Hyperlink"/>
            <w:rFonts w:ascii="Calibri" w:hAnsi="Calibri" w:cs="Arial"/>
            <w:bCs/>
            <w:sz w:val="20"/>
            <w:szCs w:val="20"/>
            <w:lang w:val="en-US" w:eastAsia="el-GR"/>
          </w:rPr>
          <w:t>www.eydap.gr</w:t>
        </w:r>
      </w:hyperlink>
      <w:r>
        <w:rPr>
          <w:rFonts w:ascii="Calibri" w:hAnsi="Calibri" w:cs="Arial"/>
          <w:bCs/>
          <w:sz w:val="20"/>
          <w:szCs w:val="20"/>
          <w:lang w:val="en-US" w:eastAsia="el-GR"/>
        </w:rPr>
        <w:t>.</w:t>
      </w:r>
      <w:r w:rsidRPr="00BC7A6F">
        <w:rPr>
          <w:rFonts w:ascii="Calibri" w:hAnsi="Calibri" w:cs="Arial"/>
          <w:bCs/>
          <w:sz w:val="20"/>
          <w:szCs w:val="20"/>
          <w:lang w:val="en-US" w:eastAsia="el-GR"/>
        </w:rPr>
        <w:t xml:space="preserve"> The financial figures mentioned in the announcement concern the Company unless otherwise stated.</w:t>
      </w:r>
    </w:p>
    <w:sectPr w:rsidR="008C0A58" w:rsidRPr="00BC7A6F">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6A" w:rsidRDefault="00AF066A" w:rsidP="00AF066A">
      <w:pPr>
        <w:spacing w:after="0" w:line="240" w:lineRule="auto"/>
      </w:pPr>
      <w:r>
        <w:separator/>
      </w:r>
    </w:p>
  </w:endnote>
  <w:endnote w:type="continuationSeparator" w:id="0">
    <w:p w:rsidR="00AF066A" w:rsidRDefault="00AF066A" w:rsidP="00AF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6A" w:rsidRPr="00AF066A" w:rsidRDefault="00AF066A" w:rsidP="00AF066A">
    <w:pPr>
      <w:tabs>
        <w:tab w:val="center" w:pos="4153"/>
        <w:tab w:val="right" w:pos="8306"/>
      </w:tabs>
      <w:spacing w:after="0" w:line="360" w:lineRule="auto"/>
      <w:ind w:right="360"/>
      <w:jc w:val="both"/>
      <w:rPr>
        <w:rFonts w:ascii="Arial" w:hAnsi="Arial"/>
        <w:b/>
        <w:color w:val="003366"/>
        <w:sz w:val="20"/>
        <w:szCs w:val="20"/>
        <w:lang w:val="en-US" w:eastAsia="el-GR"/>
      </w:rPr>
    </w:pPr>
    <w:r w:rsidRPr="00AF066A">
      <w:rPr>
        <w:rFonts w:ascii="Arial" w:hAnsi="Arial"/>
        <w:b/>
        <w:color w:val="003366"/>
        <w:sz w:val="20"/>
        <w:szCs w:val="20"/>
        <w:lang w:val="en-US" w:eastAsia="el-GR"/>
      </w:rPr>
      <w:t xml:space="preserve">Shareholders’ Services and Corporate Announcements Department </w:t>
    </w:r>
  </w:p>
  <w:p w:rsidR="00AF066A" w:rsidRPr="00AF066A" w:rsidRDefault="00AF066A" w:rsidP="00AF066A">
    <w:pPr>
      <w:tabs>
        <w:tab w:val="center" w:pos="4153"/>
        <w:tab w:val="right" w:pos="8306"/>
      </w:tabs>
      <w:spacing w:after="0" w:line="360" w:lineRule="auto"/>
      <w:ind w:right="360"/>
      <w:jc w:val="both"/>
      <w:rPr>
        <w:rFonts w:ascii="Arial" w:hAnsi="Arial"/>
        <w:b/>
        <w:color w:val="003366"/>
        <w:sz w:val="20"/>
        <w:szCs w:val="20"/>
        <w:lang w:val="en-GB" w:eastAsia="el-GR"/>
      </w:rPr>
    </w:pPr>
    <w:r w:rsidRPr="00AF066A">
      <w:rPr>
        <w:rFonts w:ascii="Arial" w:hAnsi="Arial"/>
        <w:b/>
        <w:color w:val="003366"/>
        <w:sz w:val="20"/>
        <w:szCs w:val="20"/>
        <w:lang w:val="en-US" w:eastAsia="el-GR"/>
      </w:rPr>
      <w:t>eydap-met</w:t>
    </w:r>
    <w:r w:rsidRPr="00AF066A">
      <w:rPr>
        <w:rFonts w:ascii="Arial" w:hAnsi="Arial"/>
        <w:b/>
        <w:color w:val="003366"/>
        <w:sz w:val="20"/>
        <w:szCs w:val="20"/>
        <w:lang w:val="en-GB" w:eastAsia="el-GR"/>
      </w:rPr>
      <w:t>@</w:t>
    </w:r>
    <w:proofErr w:type="spellStart"/>
    <w:r w:rsidRPr="00AF066A">
      <w:rPr>
        <w:rFonts w:ascii="Arial" w:hAnsi="Arial"/>
        <w:b/>
        <w:color w:val="003366"/>
        <w:sz w:val="20"/>
        <w:szCs w:val="20"/>
        <w:lang w:val="en-US" w:eastAsia="el-GR"/>
      </w:rPr>
      <w:t>eydap</w:t>
    </w:r>
    <w:proofErr w:type="spellEnd"/>
    <w:r w:rsidRPr="00AF066A">
      <w:rPr>
        <w:rFonts w:ascii="Arial" w:hAnsi="Arial"/>
        <w:b/>
        <w:color w:val="003366"/>
        <w:sz w:val="20"/>
        <w:szCs w:val="20"/>
        <w:lang w:val="en-GB" w:eastAsia="el-GR"/>
      </w:rPr>
      <w:t>.</w:t>
    </w:r>
    <w:r w:rsidRPr="00AF066A">
      <w:rPr>
        <w:rFonts w:ascii="Arial" w:hAnsi="Arial"/>
        <w:b/>
        <w:color w:val="003366"/>
        <w:sz w:val="20"/>
        <w:szCs w:val="20"/>
        <w:lang w:val="en-US" w:eastAsia="el-GR"/>
      </w:rPr>
      <w:t>gr</w:t>
    </w:r>
  </w:p>
  <w:p w:rsidR="00AF066A" w:rsidRDefault="00AF0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6A" w:rsidRDefault="00AF066A" w:rsidP="00AF066A">
      <w:pPr>
        <w:spacing w:after="0" w:line="240" w:lineRule="auto"/>
      </w:pPr>
      <w:r>
        <w:separator/>
      </w:r>
    </w:p>
  </w:footnote>
  <w:footnote w:type="continuationSeparator" w:id="0">
    <w:p w:rsidR="00AF066A" w:rsidRDefault="00AF066A" w:rsidP="00AF0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6A" w:rsidRDefault="00AF066A">
    <w:pPr>
      <w:pStyle w:val="Header"/>
    </w:pPr>
    <w:r w:rsidRPr="00AF066A">
      <w:rPr>
        <w:rFonts w:ascii="Times New Roman" w:hAnsi="Times New Roman"/>
        <w:noProof/>
        <w:sz w:val="24"/>
        <w:szCs w:val="24"/>
        <w:lang w:eastAsia="el-GR"/>
      </w:rPr>
      <w:drawing>
        <wp:inline distT="0" distB="0" distL="0" distR="0" wp14:anchorId="09AE6295" wp14:editId="02089E50">
          <wp:extent cx="2105025" cy="1038225"/>
          <wp:effectExtent l="0" t="0" r="0" b="0"/>
          <wp:docPr id="1" name="Εικόνα 1" descr="eydap 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dap logo 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477BD"/>
    <w:multiLevelType w:val="hybridMultilevel"/>
    <w:tmpl w:val="D3F6152E"/>
    <w:lvl w:ilvl="0" w:tplc="DBC8263E">
      <w:start w:val="1"/>
      <w:numFmt w:val="bullet"/>
      <w:lvlText w:val="§"/>
      <w:lvlJc w:val="left"/>
      <w:pPr>
        <w:tabs>
          <w:tab w:val="num" w:pos="720"/>
        </w:tabs>
        <w:ind w:left="720" w:hanging="360"/>
      </w:pPr>
      <w:rPr>
        <w:rFonts w:ascii="Wingdings" w:hAnsi="Wingdings" w:hint="default"/>
      </w:rPr>
    </w:lvl>
    <w:lvl w:ilvl="1" w:tplc="A420E0C8" w:tentative="1">
      <w:start w:val="1"/>
      <w:numFmt w:val="bullet"/>
      <w:lvlText w:val="§"/>
      <w:lvlJc w:val="left"/>
      <w:pPr>
        <w:tabs>
          <w:tab w:val="num" w:pos="1440"/>
        </w:tabs>
        <w:ind w:left="1440" w:hanging="360"/>
      </w:pPr>
      <w:rPr>
        <w:rFonts w:ascii="Wingdings" w:hAnsi="Wingdings" w:hint="default"/>
      </w:rPr>
    </w:lvl>
    <w:lvl w:ilvl="2" w:tplc="D264E268" w:tentative="1">
      <w:start w:val="1"/>
      <w:numFmt w:val="bullet"/>
      <w:lvlText w:val="§"/>
      <w:lvlJc w:val="left"/>
      <w:pPr>
        <w:tabs>
          <w:tab w:val="num" w:pos="2160"/>
        </w:tabs>
        <w:ind w:left="2160" w:hanging="360"/>
      </w:pPr>
      <w:rPr>
        <w:rFonts w:ascii="Wingdings" w:hAnsi="Wingdings" w:hint="default"/>
      </w:rPr>
    </w:lvl>
    <w:lvl w:ilvl="3" w:tplc="4F92E292" w:tentative="1">
      <w:start w:val="1"/>
      <w:numFmt w:val="bullet"/>
      <w:lvlText w:val="§"/>
      <w:lvlJc w:val="left"/>
      <w:pPr>
        <w:tabs>
          <w:tab w:val="num" w:pos="2880"/>
        </w:tabs>
        <w:ind w:left="2880" w:hanging="360"/>
      </w:pPr>
      <w:rPr>
        <w:rFonts w:ascii="Wingdings" w:hAnsi="Wingdings" w:hint="default"/>
      </w:rPr>
    </w:lvl>
    <w:lvl w:ilvl="4" w:tplc="780A8D72" w:tentative="1">
      <w:start w:val="1"/>
      <w:numFmt w:val="bullet"/>
      <w:lvlText w:val="§"/>
      <w:lvlJc w:val="left"/>
      <w:pPr>
        <w:tabs>
          <w:tab w:val="num" w:pos="3600"/>
        </w:tabs>
        <w:ind w:left="3600" w:hanging="360"/>
      </w:pPr>
      <w:rPr>
        <w:rFonts w:ascii="Wingdings" w:hAnsi="Wingdings" w:hint="default"/>
      </w:rPr>
    </w:lvl>
    <w:lvl w:ilvl="5" w:tplc="EFBC9226" w:tentative="1">
      <w:start w:val="1"/>
      <w:numFmt w:val="bullet"/>
      <w:lvlText w:val="§"/>
      <w:lvlJc w:val="left"/>
      <w:pPr>
        <w:tabs>
          <w:tab w:val="num" w:pos="4320"/>
        </w:tabs>
        <w:ind w:left="4320" w:hanging="360"/>
      </w:pPr>
      <w:rPr>
        <w:rFonts w:ascii="Wingdings" w:hAnsi="Wingdings" w:hint="default"/>
      </w:rPr>
    </w:lvl>
    <w:lvl w:ilvl="6" w:tplc="45A67146" w:tentative="1">
      <w:start w:val="1"/>
      <w:numFmt w:val="bullet"/>
      <w:lvlText w:val="§"/>
      <w:lvlJc w:val="left"/>
      <w:pPr>
        <w:tabs>
          <w:tab w:val="num" w:pos="5040"/>
        </w:tabs>
        <w:ind w:left="5040" w:hanging="360"/>
      </w:pPr>
      <w:rPr>
        <w:rFonts w:ascii="Wingdings" w:hAnsi="Wingdings" w:hint="default"/>
      </w:rPr>
    </w:lvl>
    <w:lvl w:ilvl="7" w:tplc="FAA06D42" w:tentative="1">
      <w:start w:val="1"/>
      <w:numFmt w:val="bullet"/>
      <w:lvlText w:val="§"/>
      <w:lvlJc w:val="left"/>
      <w:pPr>
        <w:tabs>
          <w:tab w:val="num" w:pos="5760"/>
        </w:tabs>
        <w:ind w:left="5760" w:hanging="360"/>
      </w:pPr>
      <w:rPr>
        <w:rFonts w:ascii="Wingdings" w:hAnsi="Wingdings" w:hint="default"/>
      </w:rPr>
    </w:lvl>
    <w:lvl w:ilvl="8" w:tplc="0F709A0E" w:tentative="1">
      <w:start w:val="1"/>
      <w:numFmt w:val="bullet"/>
      <w:lvlText w:val="§"/>
      <w:lvlJc w:val="left"/>
      <w:pPr>
        <w:tabs>
          <w:tab w:val="num" w:pos="6480"/>
        </w:tabs>
        <w:ind w:left="6480" w:hanging="360"/>
      </w:pPr>
      <w:rPr>
        <w:rFonts w:ascii="Wingdings" w:hAnsi="Wingdings" w:hint="default"/>
      </w:rPr>
    </w:lvl>
  </w:abstractNum>
  <w:abstractNum w:abstractNumId="1">
    <w:nsid w:val="3D023BB8"/>
    <w:multiLevelType w:val="hybridMultilevel"/>
    <w:tmpl w:val="25C6898A"/>
    <w:lvl w:ilvl="0" w:tplc="3A60BE4E">
      <w:start w:val="6"/>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46"/>
    <w:rsid w:val="0009211A"/>
    <w:rsid w:val="001272E2"/>
    <w:rsid w:val="00520044"/>
    <w:rsid w:val="00566B36"/>
    <w:rsid w:val="0057145C"/>
    <w:rsid w:val="00686946"/>
    <w:rsid w:val="008C0A58"/>
    <w:rsid w:val="00904EA9"/>
    <w:rsid w:val="00944AA1"/>
    <w:rsid w:val="00A27E71"/>
    <w:rsid w:val="00A84C1E"/>
    <w:rsid w:val="00AF066A"/>
    <w:rsid w:val="00BC7A6F"/>
    <w:rsid w:val="00BD655B"/>
    <w:rsid w:val="00DE2399"/>
    <w:rsid w:val="00E40014"/>
    <w:rsid w:val="00F735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946"/>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946"/>
    <w:pPr>
      <w:ind w:left="720"/>
      <w:contextualSpacing/>
    </w:pPr>
  </w:style>
  <w:style w:type="character" w:styleId="CommentReference">
    <w:name w:val="annotation reference"/>
    <w:basedOn w:val="DefaultParagraphFont"/>
    <w:uiPriority w:val="99"/>
    <w:semiHidden/>
    <w:unhideWhenUsed/>
    <w:rsid w:val="00686946"/>
    <w:rPr>
      <w:rFonts w:cs="Times New Roman"/>
      <w:sz w:val="16"/>
      <w:szCs w:val="16"/>
    </w:rPr>
  </w:style>
  <w:style w:type="paragraph" w:styleId="CommentText">
    <w:name w:val="annotation text"/>
    <w:basedOn w:val="Normal"/>
    <w:link w:val="CommentTextChar"/>
    <w:uiPriority w:val="99"/>
    <w:semiHidden/>
    <w:unhideWhenUsed/>
    <w:rsid w:val="00686946"/>
    <w:pPr>
      <w:spacing w:line="240" w:lineRule="auto"/>
    </w:pPr>
    <w:rPr>
      <w:sz w:val="20"/>
      <w:szCs w:val="20"/>
    </w:rPr>
  </w:style>
  <w:style w:type="character" w:customStyle="1" w:styleId="CommentTextChar">
    <w:name w:val="Comment Text Char"/>
    <w:basedOn w:val="DefaultParagraphFont"/>
    <w:link w:val="CommentText"/>
    <w:uiPriority w:val="99"/>
    <w:semiHidden/>
    <w:rsid w:val="00686946"/>
    <w:rPr>
      <w:rFonts w:eastAsia="Times New Roman" w:cs="Times New Roman"/>
      <w:sz w:val="20"/>
      <w:szCs w:val="20"/>
    </w:rPr>
  </w:style>
  <w:style w:type="paragraph" w:styleId="BalloonText">
    <w:name w:val="Balloon Text"/>
    <w:basedOn w:val="Normal"/>
    <w:link w:val="BalloonTextChar"/>
    <w:uiPriority w:val="99"/>
    <w:semiHidden/>
    <w:unhideWhenUsed/>
    <w:rsid w:val="00686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946"/>
    <w:rPr>
      <w:rFonts w:ascii="Tahoma" w:eastAsia="Times New Roman" w:hAnsi="Tahoma" w:cs="Tahoma"/>
      <w:sz w:val="16"/>
      <w:szCs w:val="16"/>
    </w:rPr>
  </w:style>
  <w:style w:type="character" w:styleId="Hyperlink">
    <w:name w:val="Hyperlink"/>
    <w:basedOn w:val="DefaultParagraphFont"/>
    <w:uiPriority w:val="99"/>
    <w:unhideWhenUsed/>
    <w:rsid w:val="00BC7A6F"/>
    <w:rPr>
      <w:color w:val="0000FF" w:themeColor="hyperlink"/>
      <w:u w:val="single"/>
    </w:rPr>
  </w:style>
  <w:style w:type="paragraph" w:styleId="Header">
    <w:name w:val="header"/>
    <w:basedOn w:val="Normal"/>
    <w:link w:val="HeaderChar"/>
    <w:uiPriority w:val="99"/>
    <w:unhideWhenUsed/>
    <w:rsid w:val="00AF06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066A"/>
    <w:rPr>
      <w:rFonts w:eastAsia="Times New Roman" w:cs="Times New Roman"/>
    </w:rPr>
  </w:style>
  <w:style w:type="paragraph" w:styleId="Footer">
    <w:name w:val="footer"/>
    <w:basedOn w:val="Normal"/>
    <w:link w:val="FooterChar"/>
    <w:uiPriority w:val="99"/>
    <w:unhideWhenUsed/>
    <w:rsid w:val="00AF06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066A"/>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946"/>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946"/>
    <w:pPr>
      <w:ind w:left="720"/>
      <w:contextualSpacing/>
    </w:pPr>
  </w:style>
  <w:style w:type="character" w:styleId="CommentReference">
    <w:name w:val="annotation reference"/>
    <w:basedOn w:val="DefaultParagraphFont"/>
    <w:uiPriority w:val="99"/>
    <w:semiHidden/>
    <w:unhideWhenUsed/>
    <w:rsid w:val="00686946"/>
    <w:rPr>
      <w:rFonts w:cs="Times New Roman"/>
      <w:sz w:val="16"/>
      <w:szCs w:val="16"/>
    </w:rPr>
  </w:style>
  <w:style w:type="paragraph" w:styleId="CommentText">
    <w:name w:val="annotation text"/>
    <w:basedOn w:val="Normal"/>
    <w:link w:val="CommentTextChar"/>
    <w:uiPriority w:val="99"/>
    <w:semiHidden/>
    <w:unhideWhenUsed/>
    <w:rsid w:val="00686946"/>
    <w:pPr>
      <w:spacing w:line="240" w:lineRule="auto"/>
    </w:pPr>
    <w:rPr>
      <w:sz w:val="20"/>
      <w:szCs w:val="20"/>
    </w:rPr>
  </w:style>
  <w:style w:type="character" w:customStyle="1" w:styleId="CommentTextChar">
    <w:name w:val="Comment Text Char"/>
    <w:basedOn w:val="DefaultParagraphFont"/>
    <w:link w:val="CommentText"/>
    <w:uiPriority w:val="99"/>
    <w:semiHidden/>
    <w:rsid w:val="00686946"/>
    <w:rPr>
      <w:rFonts w:eastAsia="Times New Roman" w:cs="Times New Roman"/>
      <w:sz w:val="20"/>
      <w:szCs w:val="20"/>
    </w:rPr>
  </w:style>
  <w:style w:type="paragraph" w:styleId="BalloonText">
    <w:name w:val="Balloon Text"/>
    <w:basedOn w:val="Normal"/>
    <w:link w:val="BalloonTextChar"/>
    <w:uiPriority w:val="99"/>
    <w:semiHidden/>
    <w:unhideWhenUsed/>
    <w:rsid w:val="00686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946"/>
    <w:rPr>
      <w:rFonts w:ascii="Tahoma" w:eastAsia="Times New Roman" w:hAnsi="Tahoma" w:cs="Tahoma"/>
      <w:sz w:val="16"/>
      <w:szCs w:val="16"/>
    </w:rPr>
  </w:style>
  <w:style w:type="character" w:styleId="Hyperlink">
    <w:name w:val="Hyperlink"/>
    <w:basedOn w:val="DefaultParagraphFont"/>
    <w:uiPriority w:val="99"/>
    <w:unhideWhenUsed/>
    <w:rsid w:val="00BC7A6F"/>
    <w:rPr>
      <w:color w:val="0000FF" w:themeColor="hyperlink"/>
      <w:u w:val="single"/>
    </w:rPr>
  </w:style>
  <w:style w:type="paragraph" w:styleId="Header">
    <w:name w:val="header"/>
    <w:basedOn w:val="Normal"/>
    <w:link w:val="HeaderChar"/>
    <w:uiPriority w:val="99"/>
    <w:unhideWhenUsed/>
    <w:rsid w:val="00AF06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066A"/>
    <w:rPr>
      <w:rFonts w:eastAsia="Times New Roman" w:cs="Times New Roman"/>
    </w:rPr>
  </w:style>
  <w:style w:type="paragraph" w:styleId="Footer">
    <w:name w:val="footer"/>
    <w:basedOn w:val="Normal"/>
    <w:link w:val="FooterChar"/>
    <w:uiPriority w:val="99"/>
    <w:unhideWhenUsed/>
    <w:rsid w:val="00AF06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066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eydap.g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Downloads\www.eyda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1638</Words>
  <Characters>8849</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eydap-met</dc:creator>
  <cp:lastModifiedBy>eydap-met</cp:lastModifiedBy>
  <cp:revision>3</cp:revision>
  <dcterms:created xsi:type="dcterms:W3CDTF">2022-04-29T08:03:00Z</dcterms:created>
  <dcterms:modified xsi:type="dcterms:W3CDTF">2022-04-29T08:04:00Z</dcterms:modified>
</cp:coreProperties>
</file>