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BE0" w:rsidRDefault="00465BE0" w:rsidP="00C97A40">
      <w:pPr>
        <w:rPr>
          <w:sz w:val="20"/>
          <w:szCs w:val="20"/>
          <w:lang w:val="en-US"/>
        </w:rPr>
      </w:pPr>
    </w:p>
    <w:p w:rsidR="00AB77D8" w:rsidRPr="006D2676" w:rsidRDefault="00AB77D8" w:rsidP="00AB77D8">
      <w:pPr>
        <w:jc w:val="right"/>
        <w:rPr>
          <w:sz w:val="20"/>
          <w:szCs w:val="20"/>
        </w:rPr>
      </w:pPr>
      <w:r>
        <w:rPr>
          <w:sz w:val="20"/>
          <w:szCs w:val="20"/>
        </w:rPr>
        <w:t>Athens, April 27</w:t>
      </w:r>
      <w:r w:rsidR="00126301" w:rsidRPr="00126301">
        <w:rPr>
          <w:sz w:val="20"/>
          <w:szCs w:val="20"/>
          <w:vertAlign w:val="superscript"/>
        </w:rPr>
        <w:t>th</w:t>
      </w:r>
      <w:r w:rsidR="00126301">
        <w:rPr>
          <w:sz w:val="20"/>
          <w:szCs w:val="20"/>
        </w:rPr>
        <w:t>, 2023</w:t>
      </w:r>
    </w:p>
    <w:p w:rsidR="00FA655F" w:rsidRDefault="00FA655F" w:rsidP="00FA655F">
      <w:pPr>
        <w:jc w:val="center"/>
        <w:rPr>
          <w:b/>
          <w:sz w:val="20"/>
          <w:szCs w:val="20"/>
        </w:rPr>
      </w:pPr>
    </w:p>
    <w:p w:rsidR="00FA655F" w:rsidRPr="00AA7C8A" w:rsidRDefault="00FA655F" w:rsidP="00FA655F">
      <w:pPr>
        <w:jc w:val="center"/>
        <w:rPr>
          <w:b/>
          <w:sz w:val="20"/>
          <w:szCs w:val="20"/>
        </w:rPr>
      </w:pPr>
    </w:p>
    <w:p w:rsidR="0005399C" w:rsidRPr="0005399C" w:rsidRDefault="0005399C" w:rsidP="00D46D53">
      <w:pPr>
        <w:jc w:val="center"/>
        <w:rPr>
          <w:b/>
          <w:bCs/>
          <w:color w:val="auto"/>
          <w:sz w:val="21"/>
          <w:szCs w:val="22"/>
        </w:rPr>
      </w:pPr>
      <w:r w:rsidRPr="0005399C">
        <w:rPr>
          <w:b/>
          <w:bCs/>
          <w:color w:val="auto"/>
          <w:sz w:val="21"/>
          <w:szCs w:val="22"/>
        </w:rPr>
        <w:t xml:space="preserve">EYDAP absorbed the shocks of the energy crisis and doubled its investment program without burdening </w:t>
      </w:r>
      <w:r w:rsidR="00126301">
        <w:rPr>
          <w:b/>
          <w:bCs/>
          <w:color w:val="auto"/>
          <w:sz w:val="21"/>
          <w:szCs w:val="22"/>
        </w:rPr>
        <w:t xml:space="preserve">the </w:t>
      </w:r>
      <w:r w:rsidRPr="0005399C">
        <w:rPr>
          <w:b/>
          <w:bCs/>
          <w:color w:val="auto"/>
          <w:sz w:val="21"/>
          <w:szCs w:val="22"/>
        </w:rPr>
        <w:t>consumers</w:t>
      </w:r>
    </w:p>
    <w:p w:rsidR="00C97A40" w:rsidRPr="00C97A40" w:rsidRDefault="00C97A40" w:rsidP="00C97A40">
      <w:pPr>
        <w:rPr>
          <w:sz w:val="20"/>
          <w:szCs w:val="20"/>
        </w:rPr>
      </w:pPr>
    </w:p>
    <w:p w:rsidR="00C87CF0" w:rsidRPr="0016108F" w:rsidRDefault="00C87CF0" w:rsidP="00C87CF0">
      <w:pPr>
        <w:numPr>
          <w:ilvl w:val="0"/>
          <w:numId w:val="22"/>
        </w:numPr>
        <w:jc w:val="both"/>
        <w:rPr>
          <w:color w:val="auto"/>
          <w:sz w:val="20"/>
          <w:szCs w:val="20"/>
        </w:rPr>
      </w:pPr>
      <w:r w:rsidRPr="0016108F">
        <w:rPr>
          <w:color w:val="auto"/>
          <w:sz w:val="20"/>
          <w:szCs w:val="20"/>
        </w:rPr>
        <w:t>Decrease in turnover by 4.8% to 343.5 million Euros.</w:t>
      </w:r>
    </w:p>
    <w:p w:rsidR="00D46D53" w:rsidRDefault="00C87CF0" w:rsidP="00D46D53">
      <w:pPr>
        <w:numPr>
          <w:ilvl w:val="0"/>
          <w:numId w:val="22"/>
        </w:numPr>
        <w:jc w:val="both"/>
        <w:rPr>
          <w:color w:val="auto"/>
          <w:sz w:val="20"/>
          <w:szCs w:val="20"/>
        </w:rPr>
      </w:pPr>
      <w:r w:rsidRPr="0016108F">
        <w:rPr>
          <w:color w:val="auto"/>
          <w:sz w:val="20"/>
          <w:szCs w:val="20"/>
        </w:rPr>
        <w:t xml:space="preserve">Increase in operating costs by 5.7% mainly due to the </w:t>
      </w:r>
      <w:r w:rsidR="00126301">
        <w:rPr>
          <w:color w:val="auto"/>
          <w:sz w:val="20"/>
          <w:szCs w:val="20"/>
        </w:rPr>
        <w:t>increased costs</w:t>
      </w:r>
      <w:r w:rsidRPr="0016108F">
        <w:rPr>
          <w:color w:val="auto"/>
          <w:sz w:val="20"/>
          <w:szCs w:val="20"/>
        </w:rPr>
        <w:t xml:space="preserve"> of electricity.</w:t>
      </w:r>
    </w:p>
    <w:p w:rsidR="00D46D53" w:rsidRPr="00C414D6" w:rsidRDefault="00126301" w:rsidP="00D46D53">
      <w:pPr>
        <w:numPr>
          <w:ilvl w:val="0"/>
          <w:numId w:val="22"/>
        </w:numPr>
        <w:jc w:val="both"/>
        <w:rPr>
          <w:color w:val="auto"/>
          <w:sz w:val="20"/>
          <w:szCs w:val="20"/>
        </w:rPr>
      </w:pPr>
      <w:r>
        <w:rPr>
          <w:color w:val="auto"/>
          <w:sz w:val="20"/>
          <w:szCs w:val="20"/>
        </w:rPr>
        <w:t>P</w:t>
      </w:r>
      <w:r w:rsidR="00D46D53" w:rsidRPr="00C414D6">
        <w:rPr>
          <w:color w:val="auto"/>
          <w:sz w:val="20"/>
          <w:szCs w:val="20"/>
        </w:rPr>
        <w:t>rofits before taxes at 10.6 million euros.</w:t>
      </w:r>
    </w:p>
    <w:p w:rsidR="000115B1" w:rsidRPr="00C87CF0" w:rsidRDefault="00C87CF0" w:rsidP="00E433B1">
      <w:pPr>
        <w:numPr>
          <w:ilvl w:val="0"/>
          <w:numId w:val="22"/>
        </w:numPr>
        <w:jc w:val="both"/>
        <w:rPr>
          <w:sz w:val="20"/>
          <w:szCs w:val="20"/>
        </w:rPr>
      </w:pPr>
      <w:r w:rsidRPr="00C87CF0">
        <w:rPr>
          <w:color w:val="auto"/>
          <w:sz w:val="20"/>
          <w:szCs w:val="20"/>
        </w:rPr>
        <w:t>Doubling of investments compared to the average of the previous five years.</w:t>
      </w:r>
    </w:p>
    <w:p w:rsidR="000115B1" w:rsidRDefault="000115B1" w:rsidP="00C97A40">
      <w:pPr>
        <w:jc w:val="both"/>
        <w:rPr>
          <w:sz w:val="20"/>
          <w:szCs w:val="20"/>
        </w:rPr>
      </w:pPr>
    </w:p>
    <w:p w:rsidR="00C97A40" w:rsidRDefault="00CC2A27" w:rsidP="00C97A40">
      <w:pPr>
        <w:jc w:val="both"/>
        <w:rPr>
          <w:sz w:val="20"/>
          <w:szCs w:val="20"/>
        </w:rPr>
      </w:pPr>
      <w:r>
        <w:rPr>
          <w:sz w:val="20"/>
          <w:szCs w:val="20"/>
        </w:rPr>
        <w:t xml:space="preserve">Fiscal year </w:t>
      </w:r>
      <w:r w:rsidR="00AB770D">
        <w:rPr>
          <w:sz w:val="20"/>
          <w:szCs w:val="20"/>
        </w:rPr>
        <w:t xml:space="preserve">2022 was characterized by the energy and consequent inflationary crisis that burdened the citizens. EYDAP, always faithful to its social role, supported consumers by maintaining its low tariffs, absorbed the increased costs, demonstrating </w:t>
      </w:r>
      <w:r w:rsidR="00C15B0A" w:rsidRPr="00C15B0A">
        <w:rPr>
          <w:sz w:val="20"/>
          <w:szCs w:val="20"/>
        </w:rPr>
        <w:t>resilience</w:t>
      </w:r>
      <w:r>
        <w:rPr>
          <w:sz w:val="20"/>
          <w:szCs w:val="20"/>
        </w:rPr>
        <w:t xml:space="preserve"> and</w:t>
      </w:r>
      <w:r w:rsidR="00AB770D">
        <w:rPr>
          <w:sz w:val="20"/>
          <w:szCs w:val="20"/>
        </w:rPr>
        <w:t xml:space="preserve"> consistency, while doubling investments</w:t>
      </w:r>
      <w:r>
        <w:rPr>
          <w:sz w:val="20"/>
          <w:szCs w:val="20"/>
        </w:rPr>
        <w:t>, aiming to</w:t>
      </w:r>
      <w:r w:rsidR="00AB770D">
        <w:rPr>
          <w:sz w:val="20"/>
          <w:szCs w:val="20"/>
        </w:rPr>
        <w:t xml:space="preserve"> growth.</w:t>
      </w:r>
    </w:p>
    <w:p w:rsidR="001650D8" w:rsidRPr="00C97A40" w:rsidRDefault="001650D8" w:rsidP="00C97A40">
      <w:pPr>
        <w:jc w:val="both"/>
        <w:rPr>
          <w:sz w:val="20"/>
          <w:szCs w:val="20"/>
        </w:rPr>
      </w:pPr>
    </w:p>
    <w:p w:rsidR="00BE4CCF" w:rsidRPr="00BE4CCF" w:rsidRDefault="00BE4CCF" w:rsidP="00BE4CCF">
      <w:pPr>
        <w:jc w:val="both"/>
        <w:rPr>
          <w:bCs/>
          <w:sz w:val="20"/>
          <w:szCs w:val="20"/>
        </w:rPr>
      </w:pPr>
      <w:r w:rsidRPr="00C414D6">
        <w:rPr>
          <w:bCs/>
          <w:sz w:val="20"/>
          <w:szCs w:val="20"/>
        </w:rPr>
        <w:t>The total consumption in 2022 decrease</w:t>
      </w:r>
      <w:r w:rsidR="00CC2A27">
        <w:rPr>
          <w:bCs/>
          <w:sz w:val="20"/>
          <w:szCs w:val="20"/>
        </w:rPr>
        <w:t>d</w:t>
      </w:r>
      <w:r w:rsidRPr="00C414D6">
        <w:rPr>
          <w:bCs/>
          <w:sz w:val="20"/>
          <w:szCs w:val="20"/>
        </w:rPr>
        <w:t xml:space="preserve"> </w:t>
      </w:r>
      <w:r w:rsidR="00CC2A27">
        <w:rPr>
          <w:bCs/>
          <w:sz w:val="20"/>
          <w:szCs w:val="20"/>
        </w:rPr>
        <w:t>by</w:t>
      </w:r>
      <w:r w:rsidRPr="00C414D6">
        <w:rPr>
          <w:bCs/>
          <w:sz w:val="20"/>
          <w:szCs w:val="20"/>
        </w:rPr>
        <w:t xml:space="preserve"> -4.4% compared to 2021. The decrease in the volume of water consumption is mainly due to the change in the consumption habits of households, as a result of the energy crisis, to the implementation of a stricter program of </w:t>
      </w:r>
      <w:r w:rsidR="00CC2A27">
        <w:rPr>
          <w:bCs/>
          <w:sz w:val="20"/>
          <w:szCs w:val="20"/>
        </w:rPr>
        <w:t>overdue debts</w:t>
      </w:r>
      <w:r w:rsidRPr="00C414D6">
        <w:rPr>
          <w:bCs/>
          <w:sz w:val="20"/>
          <w:szCs w:val="20"/>
        </w:rPr>
        <w:t xml:space="preserve">, combined with the statistically lower temperatures. Contrary to the total, </w:t>
      </w:r>
      <w:r w:rsidR="00CC2A27">
        <w:rPr>
          <w:bCs/>
          <w:sz w:val="20"/>
          <w:szCs w:val="20"/>
        </w:rPr>
        <w:t>billed</w:t>
      </w:r>
      <w:r w:rsidRPr="00C414D6">
        <w:rPr>
          <w:bCs/>
          <w:sz w:val="20"/>
          <w:szCs w:val="20"/>
        </w:rPr>
        <w:t xml:space="preserve"> consumption recorded an increase of 3.9%, resulting in a decrease in non-</w:t>
      </w:r>
      <w:r w:rsidR="00CC2A27">
        <w:rPr>
          <w:bCs/>
          <w:sz w:val="20"/>
          <w:szCs w:val="20"/>
        </w:rPr>
        <w:t>billed</w:t>
      </w:r>
      <w:r w:rsidRPr="00C414D6">
        <w:rPr>
          <w:bCs/>
          <w:sz w:val="20"/>
          <w:szCs w:val="20"/>
        </w:rPr>
        <w:t xml:space="preserve"> consumption.</w:t>
      </w:r>
    </w:p>
    <w:p w:rsidR="00BE4CCF" w:rsidRDefault="00BE4CCF" w:rsidP="00C97A40">
      <w:pPr>
        <w:jc w:val="both"/>
        <w:rPr>
          <w:sz w:val="20"/>
          <w:szCs w:val="20"/>
        </w:rPr>
      </w:pPr>
    </w:p>
    <w:p w:rsidR="00C97A40" w:rsidRDefault="00BE4CCF" w:rsidP="00C97A40">
      <w:pPr>
        <w:jc w:val="both"/>
        <w:rPr>
          <w:sz w:val="20"/>
          <w:szCs w:val="20"/>
        </w:rPr>
      </w:pPr>
      <w:r w:rsidRPr="00BE4CCF">
        <w:rPr>
          <w:sz w:val="20"/>
          <w:szCs w:val="20"/>
        </w:rPr>
        <w:t>The Company's turnover amounted to €343.5 million from €360.8 million in 2021, showing a decrease of -4.8%, as a consequence of the decrease in consumption.</w:t>
      </w:r>
    </w:p>
    <w:p w:rsidR="00BE4CCF" w:rsidRDefault="00BE4CCF" w:rsidP="00C97A40">
      <w:pPr>
        <w:jc w:val="both"/>
        <w:rPr>
          <w:sz w:val="20"/>
          <w:szCs w:val="20"/>
        </w:rPr>
      </w:pPr>
    </w:p>
    <w:p w:rsidR="009675E0" w:rsidRDefault="002B6315" w:rsidP="009675E0">
      <w:pPr>
        <w:jc w:val="both"/>
        <w:rPr>
          <w:bCs/>
          <w:iCs/>
          <w:sz w:val="20"/>
          <w:szCs w:val="20"/>
        </w:rPr>
      </w:pPr>
      <w:r w:rsidRPr="002B6315">
        <w:rPr>
          <w:sz w:val="20"/>
          <w:szCs w:val="20"/>
        </w:rPr>
        <w:t xml:space="preserve">The Company's total operating costs increased by +5.7% or +€18.2 million and amounted to €335.8 million from €317.6 million in 2021, mainly due to the increase in </w:t>
      </w:r>
      <w:r w:rsidR="00850FC8" w:rsidRPr="002B6315">
        <w:rPr>
          <w:sz w:val="20"/>
          <w:szCs w:val="20"/>
        </w:rPr>
        <w:t>electricity costs</w:t>
      </w:r>
      <w:r w:rsidRPr="002B6315">
        <w:rPr>
          <w:sz w:val="20"/>
          <w:szCs w:val="20"/>
        </w:rPr>
        <w:t xml:space="preserve"> which amounted to €45.5 million from €22.9 million</w:t>
      </w:r>
      <w:r w:rsidR="0016108F">
        <w:t xml:space="preserve"> </w:t>
      </w:r>
      <w:r w:rsidR="0016108F">
        <w:rPr>
          <w:sz w:val="20"/>
          <w:szCs w:val="20"/>
        </w:rPr>
        <w:t xml:space="preserve">in 2021, increasing by 98%. </w:t>
      </w:r>
      <w:r w:rsidR="00AB086D">
        <w:rPr>
          <w:bCs/>
          <w:iCs/>
          <w:sz w:val="20"/>
          <w:szCs w:val="20"/>
        </w:rPr>
        <w:t>On the contrary, the reduction of miscellaneous provisions by €15.1 million had a positive effect on operating costs.</w:t>
      </w:r>
    </w:p>
    <w:p w:rsidR="002B6315" w:rsidRPr="009675E0" w:rsidRDefault="009675E0" w:rsidP="009675E0">
      <w:pPr>
        <w:jc w:val="both"/>
        <w:rPr>
          <w:b/>
          <w:bCs/>
          <w:iCs/>
          <w:sz w:val="20"/>
          <w:szCs w:val="20"/>
        </w:rPr>
      </w:pPr>
      <w:r w:rsidRPr="00AB086D">
        <w:rPr>
          <w:sz w:val="20"/>
          <w:szCs w:val="20"/>
        </w:rPr>
        <w:t xml:space="preserve">Also, expenses were negatively affected by the €8.7 million increase in other expenses, mainly due to the </w:t>
      </w:r>
      <w:r w:rsidRPr="00AB086D">
        <w:rPr>
          <w:bCs/>
          <w:iCs/>
          <w:sz w:val="20"/>
          <w:szCs w:val="20"/>
        </w:rPr>
        <w:t>forecast impairment of other receivables due to their non-recoverability. Other operating income also showed a decrease, which amounted to €3.1 million from €5.1 million in 2021, marking a decrease of -38.7% or -€2.0 million.</w:t>
      </w:r>
    </w:p>
    <w:p w:rsidR="002B6315" w:rsidRDefault="002B6315" w:rsidP="00C97A40">
      <w:pPr>
        <w:jc w:val="both"/>
        <w:rPr>
          <w:sz w:val="20"/>
          <w:szCs w:val="20"/>
        </w:rPr>
      </w:pPr>
    </w:p>
    <w:p w:rsidR="002B6315" w:rsidRDefault="0016108F" w:rsidP="00C97A40">
      <w:pPr>
        <w:jc w:val="both"/>
        <w:rPr>
          <w:sz w:val="20"/>
          <w:szCs w:val="20"/>
        </w:rPr>
      </w:pPr>
      <w:r w:rsidRPr="0016108F">
        <w:rPr>
          <w:sz w:val="20"/>
          <w:szCs w:val="20"/>
        </w:rPr>
        <w:t xml:space="preserve">The result of these developments was </w:t>
      </w:r>
      <w:r w:rsidR="00850FC8">
        <w:rPr>
          <w:sz w:val="20"/>
          <w:szCs w:val="20"/>
        </w:rPr>
        <w:t>the reduction of</w:t>
      </w:r>
      <w:r w:rsidRPr="0016108F">
        <w:rPr>
          <w:sz w:val="20"/>
          <w:szCs w:val="20"/>
        </w:rPr>
        <w:t xml:space="preserve"> the Company's Gross Profit Margin by -35.4 million € (-22.5%) and to reach 121.5 million € from 156.9 million in 2021 but also the Gross Profit Margin as a percentage of turnover to 35.4% from 43.5% in 2021.</w:t>
      </w:r>
    </w:p>
    <w:p w:rsidR="002B6315" w:rsidRDefault="002B6315" w:rsidP="00C97A40">
      <w:pPr>
        <w:jc w:val="both"/>
        <w:rPr>
          <w:sz w:val="20"/>
          <w:szCs w:val="20"/>
        </w:rPr>
      </w:pPr>
    </w:p>
    <w:p w:rsidR="0016108F" w:rsidRPr="0016108F" w:rsidRDefault="00AB086D" w:rsidP="0016108F">
      <w:pPr>
        <w:jc w:val="both"/>
        <w:rPr>
          <w:sz w:val="20"/>
          <w:szCs w:val="20"/>
        </w:rPr>
      </w:pPr>
      <w:r>
        <w:rPr>
          <w:sz w:val="20"/>
          <w:szCs w:val="20"/>
        </w:rPr>
        <w:t xml:space="preserve">The Company's </w:t>
      </w:r>
      <w:r w:rsidR="00ED633F">
        <w:rPr>
          <w:sz w:val="20"/>
          <w:szCs w:val="20"/>
        </w:rPr>
        <w:t>EBITDA</w:t>
      </w:r>
      <w:r>
        <w:rPr>
          <w:sz w:val="20"/>
          <w:szCs w:val="20"/>
        </w:rPr>
        <w:t>* amounted to €39 million from €85.5 million in 2021, a decrease of €46.5 million (54.4%). EBITDA margin was 11.4% from 23.7% in 2021.</w:t>
      </w:r>
    </w:p>
    <w:p w:rsidR="002B6315" w:rsidRDefault="002B6315" w:rsidP="00C97A40">
      <w:pPr>
        <w:jc w:val="both"/>
        <w:rPr>
          <w:sz w:val="20"/>
          <w:szCs w:val="20"/>
        </w:rPr>
      </w:pPr>
    </w:p>
    <w:p w:rsidR="009675E0" w:rsidRPr="009675E0" w:rsidRDefault="009675E0" w:rsidP="009675E0">
      <w:pPr>
        <w:jc w:val="both"/>
        <w:rPr>
          <w:sz w:val="20"/>
          <w:szCs w:val="20"/>
        </w:rPr>
      </w:pPr>
      <w:r w:rsidRPr="009675E0">
        <w:rPr>
          <w:sz w:val="20"/>
          <w:szCs w:val="20"/>
        </w:rPr>
        <w:t xml:space="preserve">The decrease in </w:t>
      </w:r>
      <w:r w:rsidRPr="009675E0">
        <w:rPr>
          <w:sz w:val="20"/>
          <w:szCs w:val="20"/>
          <w:lang w:val="en-US"/>
        </w:rPr>
        <w:t xml:space="preserve">EBITDA </w:t>
      </w:r>
      <w:r w:rsidRPr="009675E0">
        <w:rPr>
          <w:sz w:val="20"/>
          <w:szCs w:val="20"/>
        </w:rPr>
        <w:t xml:space="preserve">affected the </w:t>
      </w:r>
      <w:r w:rsidR="00ED633F">
        <w:rPr>
          <w:sz w:val="20"/>
          <w:szCs w:val="20"/>
          <w:lang w:val="en-US"/>
        </w:rPr>
        <w:t>EBIT</w:t>
      </w:r>
      <w:r w:rsidRPr="009675E0">
        <w:rPr>
          <w:sz w:val="20"/>
          <w:szCs w:val="20"/>
        </w:rPr>
        <w:t>*</w:t>
      </w:r>
      <w:r w:rsidR="00ED633F">
        <w:rPr>
          <w:sz w:val="20"/>
          <w:szCs w:val="20"/>
        </w:rPr>
        <w:t xml:space="preserve"> of the Company, which </w:t>
      </w:r>
      <w:r w:rsidRPr="009675E0">
        <w:rPr>
          <w:sz w:val="20"/>
          <w:szCs w:val="20"/>
        </w:rPr>
        <w:t>decrease</w:t>
      </w:r>
      <w:r w:rsidR="00ED633F">
        <w:rPr>
          <w:sz w:val="20"/>
          <w:szCs w:val="20"/>
        </w:rPr>
        <w:t>d by</w:t>
      </w:r>
      <w:r w:rsidRPr="009675E0">
        <w:rPr>
          <w:sz w:val="20"/>
          <w:szCs w:val="20"/>
        </w:rPr>
        <w:t>-46.2 million € (-100%) and amounted to 117 thousand € from 46.3 million € in 2021. EBIT margin was 0% from 12.8% in 2021.</w:t>
      </w:r>
    </w:p>
    <w:p w:rsidR="009675E0" w:rsidRPr="009675E0" w:rsidRDefault="009675E0" w:rsidP="009675E0">
      <w:pPr>
        <w:jc w:val="both"/>
        <w:rPr>
          <w:sz w:val="20"/>
          <w:szCs w:val="20"/>
        </w:rPr>
      </w:pPr>
    </w:p>
    <w:p w:rsidR="009675E0" w:rsidRPr="009675E0" w:rsidRDefault="009675E0" w:rsidP="009675E0">
      <w:pPr>
        <w:jc w:val="both"/>
        <w:rPr>
          <w:sz w:val="20"/>
          <w:szCs w:val="20"/>
        </w:rPr>
      </w:pPr>
      <w:r w:rsidRPr="009675E0">
        <w:rPr>
          <w:sz w:val="20"/>
          <w:szCs w:val="20"/>
        </w:rPr>
        <w:t>The Company's pre-tax profits amounted to €10.6 million from €59.4 million in 2021, marking a decline of -82% or -€48.8 million.</w:t>
      </w:r>
    </w:p>
    <w:p w:rsidR="002B6315" w:rsidRDefault="002B6315" w:rsidP="00C97A40">
      <w:pPr>
        <w:jc w:val="both"/>
        <w:rPr>
          <w:sz w:val="20"/>
          <w:szCs w:val="20"/>
        </w:rPr>
      </w:pPr>
    </w:p>
    <w:p w:rsidR="009675E0" w:rsidRPr="009675E0" w:rsidRDefault="009675E0" w:rsidP="009675E0">
      <w:pPr>
        <w:jc w:val="both"/>
        <w:rPr>
          <w:sz w:val="20"/>
          <w:szCs w:val="20"/>
        </w:rPr>
      </w:pPr>
      <w:r>
        <w:rPr>
          <w:sz w:val="20"/>
          <w:szCs w:val="20"/>
        </w:rPr>
        <w:t>The Company's profit after tax decreased by 84% to €5 million from €30.7 million in 2021. Net profit margin was 1.5% from 8.5% in 2021.</w:t>
      </w:r>
    </w:p>
    <w:p w:rsidR="002B6315" w:rsidRDefault="002B6315" w:rsidP="00C97A40">
      <w:pPr>
        <w:jc w:val="both"/>
        <w:rPr>
          <w:sz w:val="20"/>
          <w:szCs w:val="20"/>
        </w:rPr>
      </w:pPr>
    </w:p>
    <w:p w:rsidR="002B6315" w:rsidRDefault="00070308" w:rsidP="00070308">
      <w:pPr>
        <w:jc w:val="both"/>
        <w:rPr>
          <w:sz w:val="20"/>
          <w:szCs w:val="20"/>
        </w:rPr>
      </w:pPr>
      <w:r>
        <w:rPr>
          <w:sz w:val="20"/>
          <w:szCs w:val="20"/>
        </w:rPr>
        <w:t xml:space="preserve">The </w:t>
      </w:r>
      <w:r w:rsidR="00ED633F">
        <w:rPr>
          <w:sz w:val="20"/>
          <w:szCs w:val="20"/>
        </w:rPr>
        <w:t>Free Cash Flows to the Firm</w:t>
      </w:r>
      <w:r>
        <w:rPr>
          <w:sz w:val="20"/>
          <w:szCs w:val="20"/>
        </w:rPr>
        <w:t xml:space="preserve"> for the group were -€79.6 million from €19.5 million in 2021, mainly due to the disbursement in the year 2022 of €157 million to EYDAP Fixed Assets Company</w:t>
      </w:r>
      <w:r w:rsidR="00ED633F">
        <w:rPr>
          <w:sz w:val="20"/>
          <w:szCs w:val="20"/>
        </w:rPr>
        <w:t xml:space="preserve"> LEPL</w:t>
      </w:r>
      <w:r>
        <w:rPr>
          <w:sz w:val="20"/>
          <w:szCs w:val="20"/>
        </w:rPr>
        <w:t xml:space="preserve"> for the final settlement of the additional cost of raw water for the years 2013-2020 for which a provision had been made on 31.12.2021. Net Investing Cash Flows for the group amounted to an outflow of €19 million, from an outflow of €18.7 million in 2021.</w:t>
      </w:r>
    </w:p>
    <w:p w:rsidR="0046504E" w:rsidRDefault="0046504E" w:rsidP="00070308">
      <w:pPr>
        <w:jc w:val="both"/>
        <w:rPr>
          <w:sz w:val="20"/>
          <w:szCs w:val="20"/>
        </w:rPr>
      </w:pPr>
    </w:p>
    <w:p w:rsidR="0046504E" w:rsidRDefault="0046504E" w:rsidP="00070308">
      <w:pPr>
        <w:jc w:val="both"/>
        <w:rPr>
          <w:sz w:val="20"/>
          <w:szCs w:val="20"/>
        </w:rPr>
      </w:pPr>
      <w:r w:rsidRPr="0046504E">
        <w:rPr>
          <w:sz w:val="20"/>
          <w:szCs w:val="20"/>
        </w:rPr>
        <w:t>The Board of Directors of the Company approved the submission of a proposal to the Ordinary General Meeting of Shareholders, for the distribution of a dividend, amounting to 2 cents (Euro 0.02) per share, (total gross amount of Euro 2,130 thousand Euro) for the year 2022.</w:t>
      </w:r>
    </w:p>
    <w:p w:rsidR="0046504E" w:rsidRDefault="0046504E" w:rsidP="00070308">
      <w:pPr>
        <w:jc w:val="both"/>
        <w:rPr>
          <w:sz w:val="20"/>
          <w:szCs w:val="20"/>
        </w:rPr>
      </w:pPr>
    </w:p>
    <w:p w:rsidR="0046504E" w:rsidRPr="0046504E" w:rsidRDefault="0046504E" w:rsidP="00070308">
      <w:pPr>
        <w:jc w:val="both"/>
        <w:rPr>
          <w:b/>
          <w:sz w:val="20"/>
          <w:szCs w:val="20"/>
        </w:rPr>
      </w:pPr>
      <w:r w:rsidRPr="0046504E">
        <w:rPr>
          <w:b/>
          <w:sz w:val="20"/>
          <w:szCs w:val="20"/>
        </w:rPr>
        <w:t>Project Investment Program</w:t>
      </w:r>
    </w:p>
    <w:p w:rsidR="0046504E" w:rsidRDefault="0046504E" w:rsidP="0046504E">
      <w:pPr>
        <w:jc w:val="both"/>
        <w:rPr>
          <w:bCs/>
          <w:sz w:val="20"/>
          <w:szCs w:val="20"/>
        </w:rPr>
      </w:pPr>
    </w:p>
    <w:p w:rsidR="0046504E" w:rsidRPr="0046504E" w:rsidRDefault="0046504E" w:rsidP="0046504E">
      <w:pPr>
        <w:jc w:val="both"/>
        <w:rPr>
          <w:bCs/>
          <w:sz w:val="20"/>
          <w:szCs w:val="20"/>
        </w:rPr>
      </w:pPr>
      <w:r w:rsidRPr="0046504E">
        <w:rPr>
          <w:bCs/>
          <w:sz w:val="20"/>
          <w:szCs w:val="20"/>
        </w:rPr>
        <w:t xml:space="preserve">In 2022 the absorption of the project investment program amounted to 30.5 million euros, increased by 66% compared to 2021 which had amounted to 18.3 million euros and increased by 107% from the average absorption of previous five years. The main volume of the project investment program concerns the large </w:t>
      </w:r>
      <w:r w:rsidR="005F49BF">
        <w:rPr>
          <w:bCs/>
          <w:sz w:val="20"/>
          <w:szCs w:val="20"/>
        </w:rPr>
        <w:t>sewerage</w:t>
      </w:r>
      <w:r w:rsidRPr="0046504E">
        <w:rPr>
          <w:bCs/>
          <w:sz w:val="20"/>
          <w:szCs w:val="20"/>
        </w:rPr>
        <w:t xml:space="preserve"> projects in eastern Attica, but also projects of the water supply network (installation of new </w:t>
      </w:r>
      <w:r w:rsidR="002C6C37">
        <w:rPr>
          <w:bCs/>
          <w:sz w:val="20"/>
          <w:szCs w:val="20"/>
        </w:rPr>
        <w:t>meters</w:t>
      </w:r>
      <w:r w:rsidRPr="0046504E">
        <w:rPr>
          <w:bCs/>
          <w:sz w:val="20"/>
          <w:szCs w:val="20"/>
        </w:rPr>
        <w:t xml:space="preserve">, water supply network works, extensions, improvements and replacements) and the </w:t>
      </w:r>
      <w:r w:rsidR="002C6C37">
        <w:rPr>
          <w:bCs/>
          <w:sz w:val="20"/>
          <w:szCs w:val="20"/>
        </w:rPr>
        <w:t>sewerage network (construction of</w:t>
      </w:r>
      <w:r w:rsidRPr="0046504E">
        <w:rPr>
          <w:bCs/>
          <w:sz w:val="20"/>
          <w:szCs w:val="20"/>
        </w:rPr>
        <w:t xml:space="preserve"> connections &amp; secondary sewage network of water, reconstruction of pipelines).</w:t>
      </w:r>
    </w:p>
    <w:p w:rsidR="0046504E" w:rsidRPr="0046504E" w:rsidRDefault="0046504E" w:rsidP="0046504E">
      <w:pPr>
        <w:jc w:val="both"/>
        <w:rPr>
          <w:bCs/>
          <w:sz w:val="20"/>
          <w:szCs w:val="20"/>
        </w:rPr>
      </w:pPr>
      <w:r w:rsidRPr="0046504E">
        <w:rPr>
          <w:bCs/>
          <w:sz w:val="20"/>
          <w:szCs w:val="20"/>
        </w:rPr>
        <w:t xml:space="preserve">The budgeted amount of the project investment program for 2023 amounts to 45.9 million euros, with 52% concerning the </w:t>
      </w:r>
      <w:r w:rsidR="002C6C37">
        <w:rPr>
          <w:bCs/>
          <w:sz w:val="20"/>
          <w:szCs w:val="20"/>
          <w:lang w:val="en-US"/>
        </w:rPr>
        <w:t>sewerage</w:t>
      </w:r>
      <w:r w:rsidRPr="0046504E">
        <w:rPr>
          <w:bCs/>
          <w:sz w:val="20"/>
          <w:szCs w:val="20"/>
        </w:rPr>
        <w:t xml:space="preserve"> projects of eastern Attica, 28% water supply projects and 15% sewage projects.</w:t>
      </w:r>
    </w:p>
    <w:p w:rsidR="0046504E" w:rsidRPr="0046504E" w:rsidRDefault="0046504E" w:rsidP="0046504E">
      <w:pPr>
        <w:jc w:val="both"/>
        <w:rPr>
          <w:bCs/>
          <w:sz w:val="20"/>
          <w:szCs w:val="20"/>
        </w:rPr>
      </w:pPr>
      <w:r w:rsidRPr="0046504E">
        <w:rPr>
          <w:bCs/>
          <w:sz w:val="20"/>
          <w:szCs w:val="20"/>
        </w:rPr>
        <w:t>Almost 50% of the projects are financed by the EU.</w:t>
      </w:r>
    </w:p>
    <w:p w:rsidR="0046504E" w:rsidRDefault="0046504E" w:rsidP="00070308">
      <w:pPr>
        <w:jc w:val="both"/>
        <w:rPr>
          <w:sz w:val="20"/>
          <w:szCs w:val="20"/>
        </w:rPr>
      </w:pPr>
    </w:p>
    <w:p w:rsidR="00AC1E02" w:rsidRDefault="00AC1E02" w:rsidP="00070308">
      <w:pPr>
        <w:jc w:val="both"/>
        <w:rPr>
          <w:sz w:val="20"/>
          <w:szCs w:val="20"/>
        </w:rPr>
      </w:pPr>
    </w:p>
    <w:p w:rsidR="00AC1E02" w:rsidRPr="00AC1E02" w:rsidRDefault="00AC1E02" w:rsidP="00AC1E02">
      <w:pPr>
        <w:jc w:val="both"/>
        <w:rPr>
          <w:b/>
          <w:sz w:val="20"/>
          <w:szCs w:val="20"/>
        </w:rPr>
      </w:pPr>
      <w:r w:rsidRPr="00AC1E02">
        <w:rPr>
          <w:b/>
          <w:sz w:val="20"/>
          <w:szCs w:val="20"/>
        </w:rPr>
        <w:t>New Independent Regulatory Authority</w:t>
      </w:r>
    </w:p>
    <w:p w:rsidR="00AC1E02" w:rsidRPr="00AC1E02" w:rsidRDefault="00AC1E02" w:rsidP="00AC1E02">
      <w:pPr>
        <w:jc w:val="both"/>
        <w:rPr>
          <w:sz w:val="20"/>
          <w:szCs w:val="20"/>
        </w:rPr>
      </w:pPr>
    </w:p>
    <w:p w:rsidR="00AC1E02" w:rsidRPr="00AC1E02" w:rsidRDefault="00AC1E02" w:rsidP="00AC1E02">
      <w:pPr>
        <w:jc w:val="both"/>
        <w:rPr>
          <w:sz w:val="20"/>
          <w:szCs w:val="20"/>
        </w:rPr>
      </w:pPr>
      <w:r w:rsidRPr="00AC1E02">
        <w:rPr>
          <w:sz w:val="20"/>
          <w:szCs w:val="20"/>
        </w:rPr>
        <w:t xml:space="preserve">On March 28, 2023, </w:t>
      </w:r>
      <w:r w:rsidRPr="00AC1E02">
        <w:rPr>
          <w:bCs/>
          <w:sz w:val="20"/>
          <w:szCs w:val="20"/>
        </w:rPr>
        <w:t>Law 5037/2023 was published by which</w:t>
      </w:r>
      <w:r w:rsidR="000B3A65">
        <w:rPr>
          <w:bCs/>
          <w:sz w:val="20"/>
          <w:szCs w:val="20"/>
        </w:rPr>
        <w:t xml:space="preserve"> the Regulatory Authority of Energy (</w:t>
      </w:r>
      <w:r w:rsidRPr="00AC1E02">
        <w:rPr>
          <w:bCs/>
          <w:sz w:val="20"/>
          <w:szCs w:val="20"/>
        </w:rPr>
        <w:t>RAE</w:t>
      </w:r>
      <w:r w:rsidR="000B3A65">
        <w:rPr>
          <w:bCs/>
          <w:sz w:val="20"/>
          <w:szCs w:val="20"/>
        </w:rPr>
        <w:t>)</w:t>
      </w:r>
      <w:r w:rsidRPr="00AC1E02">
        <w:rPr>
          <w:bCs/>
          <w:sz w:val="20"/>
          <w:szCs w:val="20"/>
        </w:rPr>
        <w:t xml:space="preserve"> was renamed </w:t>
      </w:r>
      <w:r w:rsidR="000B3A65">
        <w:rPr>
          <w:bCs/>
          <w:sz w:val="20"/>
          <w:szCs w:val="20"/>
        </w:rPr>
        <w:t>to</w:t>
      </w:r>
      <w:r w:rsidRPr="00AC1E02">
        <w:rPr>
          <w:bCs/>
          <w:sz w:val="20"/>
          <w:szCs w:val="20"/>
        </w:rPr>
        <w:t xml:space="preserve"> </w:t>
      </w:r>
      <w:r w:rsidR="00FE77EC">
        <w:rPr>
          <w:iCs/>
          <w:sz w:val="20"/>
          <w:szCs w:val="20"/>
        </w:rPr>
        <w:t xml:space="preserve">Waste, Energy and Water Regulatory Authority </w:t>
      </w:r>
      <w:r w:rsidR="000B3A65" w:rsidRPr="000B3A65">
        <w:rPr>
          <w:sz w:val="20"/>
          <w:szCs w:val="20"/>
        </w:rPr>
        <w:t>(R.A.W.E.W.)</w:t>
      </w:r>
      <w:r w:rsidR="000B3A65">
        <w:rPr>
          <w:sz w:val="20"/>
          <w:szCs w:val="20"/>
        </w:rPr>
        <w:t xml:space="preserve"> </w:t>
      </w:r>
      <w:r w:rsidR="00FE77EC">
        <w:rPr>
          <w:bCs/>
          <w:sz w:val="20"/>
          <w:szCs w:val="20"/>
        </w:rPr>
        <w:t xml:space="preserve">which was entrusted with the </w:t>
      </w:r>
      <w:r w:rsidR="00FE77EC" w:rsidRPr="00AC1E02">
        <w:rPr>
          <w:sz w:val="20"/>
          <w:szCs w:val="20"/>
        </w:rPr>
        <w:t>supervision of the provision of water and municipal waste management services.</w:t>
      </w:r>
    </w:p>
    <w:p w:rsidR="00AC1E02" w:rsidRPr="00AC1E02" w:rsidRDefault="00AC1E02" w:rsidP="00AC1E02">
      <w:pPr>
        <w:jc w:val="both"/>
        <w:rPr>
          <w:sz w:val="20"/>
          <w:szCs w:val="20"/>
        </w:rPr>
      </w:pPr>
    </w:p>
    <w:p w:rsidR="00AC1E02" w:rsidRPr="00FE77EC" w:rsidRDefault="00AC1E02" w:rsidP="00FE77EC">
      <w:pPr>
        <w:jc w:val="both"/>
        <w:rPr>
          <w:sz w:val="20"/>
          <w:szCs w:val="20"/>
        </w:rPr>
      </w:pPr>
      <w:r w:rsidRPr="00AC1E02">
        <w:rPr>
          <w:sz w:val="20"/>
          <w:szCs w:val="20"/>
        </w:rPr>
        <w:t xml:space="preserve">The purpose of the law is the rational regulation of the provision of water supply and urban waste treatment services, especially in terms of organization, services provided, their costs and pricing, through the assignment of relevant supervisory and control responsibilities to </w:t>
      </w:r>
      <w:r w:rsidR="000B3A65">
        <w:rPr>
          <w:sz w:val="20"/>
          <w:szCs w:val="20"/>
        </w:rPr>
        <w:t>R.A.W.E.W.</w:t>
      </w:r>
      <w:r w:rsidR="00083E57">
        <w:rPr>
          <w:sz w:val="20"/>
          <w:szCs w:val="20"/>
        </w:rPr>
        <w:t xml:space="preserve"> </w:t>
      </w:r>
      <w:r w:rsidR="00FE77EC" w:rsidRPr="00FE77EC">
        <w:rPr>
          <w:bCs/>
          <w:iCs/>
          <w:sz w:val="20"/>
          <w:szCs w:val="20"/>
        </w:rPr>
        <w:t xml:space="preserve">The new expanded regulatory authority has started its operation and a vice president of the water sector has already been appointed. </w:t>
      </w:r>
      <w:r w:rsidR="000B3A65">
        <w:rPr>
          <w:bCs/>
          <w:iCs/>
          <w:sz w:val="20"/>
          <w:szCs w:val="20"/>
        </w:rPr>
        <w:t>R.A.W.E.W.</w:t>
      </w:r>
      <w:r w:rsidR="00FE77EC" w:rsidRPr="00FE77EC">
        <w:rPr>
          <w:bCs/>
          <w:iCs/>
          <w:sz w:val="20"/>
          <w:szCs w:val="20"/>
        </w:rPr>
        <w:t xml:space="preserve"> is expected to be fully operational before the end of 2023.</w:t>
      </w:r>
    </w:p>
    <w:p w:rsidR="00FE77EC" w:rsidRDefault="00FE77EC" w:rsidP="00AC1E02">
      <w:pPr>
        <w:jc w:val="both"/>
        <w:rPr>
          <w:sz w:val="20"/>
          <w:szCs w:val="20"/>
        </w:rPr>
      </w:pPr>
    </w:p>
    <w:p w:rsidR="00FE77EC" w:rsidRPr="00FE77EC" w:rsidRDefault="00FE77EC" w:rsidP="00FE77EC">
      <w:pPr>
        <w:jc w:val="both"/>
        <w:rPr>
          <w:sz w:val="20"/>
          <w:szCs w:val="20"/>
        </w:rPr>
      </w:pPr>
      <w:r w:rsidRPr="00FE77EC">
        <w:rPr>
          <w:sz w:val="20"/>
          <w:szCs w:val="20"/>
        </w:rPr>
        <w:t xml:space="preserve">EYDAP's tariff policy is implemented through the application of the general rules for costing and </w:t>
      </w:r>
      <w:r w:rsidR="000B3A65">
        <w:rPr>
          <w:sz w:val="20"/>
          <w:szCs w:val="20"/>
        </w:rPr>
        <w:t xml:space="preserve">billing of </w:t>
      </w:r>
      <w:r w:rsidRPr="00FE77EC">
        <w:rPr>
          <w:sz w:val="20"/>
          <w:szCs w:val="20"/>
        </w:rPr>
        <w:t xml:space="preserve">water services that will be determined by ministerial decision, while water service tariffs for the various categories of consumers and users are approved by a five-year decision of </w:t>
      </w:r>
      <w:r w:rsidR="000B3A65" w:rsidRPr="000B3A65">
        <w:rPr>
          <w:bCs/>
          <w:iCs/>
          <w:sz w:val="20"/>
          <w:szCs w:val="20"/>
        </w:rPr>
        <w:t xml:space="preserve">R.A.W.E.W. </w:t>
      </w:r>
      <w:r w:rsidRPr="00FE77EC">
        <w:rPr>
          <w:sz w:val="20"/>
          <w:szCs w:val="20"/>
        </w:rPr>
        <w:t>Until the approval of the new tariffs, the validity of the company's tariffs is extended.</w:t>
      </w:r>
    </w:p>
    <w:p w:rsidR="00FE77EC" w:rsidRPr="00FE77EC" w:rsidRDefault="00FE77EC" w:rsidP="00FE77EC">
      <w:pPr>
        <w:jc w:val="both"/>
        <w:rPr>
          <w:sz w:val="20"/>
          <w:szCs w:val="20"/>
        </w:rPr>
      </w:pPr>
    </w:p>
    <w:p w:rsidR="00FE77EC" w:rsidRPr="00FE77EC" w:rsidRDefault="00FE77EC" w:rsidP="00FE77EC">
      <w:pPr>
        <w:jc w:val="both"/>
        <w:rPr>
          <w:i/>
          <w:sz w:val="20"/>
          <w:szCs w:val="20"/>
        </w:rPr>
      </w:pPr>
      <w:r w:rsidRPr="00FE77EC">
        <w:rPr>
          <w:sz w:val="20"/>
          <w:szCs w:val="20"/>
        </w:rPr>
        <w:t xml:space="preserve">In article 34 of Law 5037/2023, it is defined that: </w:t>
      </w:r>
      <w:r w:rsidRPr="00FE77EC">
        <w:rPr>
          <w:i/>
          <w:sz w:val="20"/>
          <w:szCs w:val="20"/>
        </w:rPr>
        <w:t xml:space="preserve">"By joint decision of the Ministers of Environment and Energy, Finance, Interior and Rural Development and Food, following the opinion of the Advisory Committee of paragraph 3 of article 4 and a recommendation of </w:t>
      </w:r>
      <w:r w:rsidR="00083E57" w:rsidRPr="00083E57">
        <w:rPr>
          <w:bCs/>
          <w:i/>
          <w:iCs/>
          <w:sz w:val="20"/>
          <w:szCs w:val="20"/>
        </w:rPr>
        <w:t>R.A.W.E.W.</w:t>
      </w:r>
      <w:r w:rsidRPr="00FE77EC">
        <w:rPr>
          <w:i/>
          <w:sz w:val="20"/>
          <w:szCs w:val="20"/>
        </w:rPr>
        <w:t xml:space="preserve">, to the Commission, the general rules for costing and </w:t>
      </w:r>
      <w:r w:rsidR="00083E57">
        <w:rPr>
          <w:i/>
          <w:sz w:val="20"/>
          <w:szCs w:val="20"/>
        </w:rPr>
        <w:t>billing</w:t>
      </w:r>
      <w:r w:rsidRPr="00FE77EC">
        <w:rPr>
          <w:i/>
          <w:sz w:val="20"/>
          <w:szCs w:val="20"/>
        </w:rPr>
        <w:t xml:space="preserve"> water services, the measures to improve them, as well as the procedures and the method of recovering the cost of water services in the various uses, are determined, according to par. 1 of the present and the </w:t>
      </w:r>
      <w:proofErr w:type="spellStart"/>
      <w:r w:rsidRPr="00FE77EC">
        <w:rPr>
          <w:i/>
          <w:sz w:val="20"/>
          <w:szCs w:val="20"/>
        </w:rPr>
        <w:t>p.d</w:t>
      </w:r>
      <w:proofErr w:type="spellEnd"/>
      <w:r w:rsidRPr="00FE77EC">
        <w:rPr>
          <w:i/>
          <w:sz w:val="20"/>
          <w:szCs w:val="20"/>
        </w:rPr>
        <w:t xml:space="preserve">. </w:t>
      </w:r>
      <w:hyperlink r:id="rId8" w:tooltip="Άρθρα με ετικέτα 51/2007" w:history="1">
        <w:r w:rsidRPr="00FE77EC">
          <w:rPr>
            <w:rStyle w:val="-"/>
            <w:i/>
            <w:sz w:val="20"/>
            <w:szCs w:val="20"/>
          </w:rPr>
          <w:t xml:space="preserve">51/2007 </w:t>
        </w:r>
      </w:hyperlink>
      <w:r w:rsidRPr="00FE77EC">
        <w:rPr>
          <w:i/>
          <w:sz w:val="20"/>
          <w:szCs w:val="20"/>
        </w:rPr>
        <w:t>."</w:t>
      </w:r>
    </w:p>
    <w:p w:rsidR="00FE77EC" w:rsidRPr="00FE77EC" w:rsidRDefault="00FE77EC" w:rsidP="00FE77EC">
      <w:pPr>
        <w:jc w:val="both"/>
        <w:rPr>
          <w:sz w:val="20"/>
          <w:szCs w:val="20"/>
        </w:rPr>
      </w:pPr>
    </w:p>
    <w:p w:rsidR="00FE77EC" w:rsidRPr="00FE77EC" w:rsidRDefault="00083E57" w:rsidP="00FE77EC">
      <w:pPr>
        <w:jc w:val="both"/>
        <w:rPr>
          <w:sz w:val="20"/>
          <w:szCs w:val="20"/>
        </w:rPr>
      </w:pPr>
      <w:r>
        <w:rPr>
          <w:sz w:val="20"/>
          <w:szCs w:val="20"/>
        </w:rPr>
        <w:t>T</w:t>
      </w:r>
      <w:r w:rsidR="00FE77EC" w:rsidRPr="00FE77EC">
        <w:rPr>
          <w:sz w:val="20"/>
          <w:szCs w:val="20"/>
        </w:rPr>
        <w:t>he new tariffs, for which an effort will be made to apply from 1/1/2024</w:t>
      </w:r>
      <w:r>
        <w:rPr>
          <w:sz w:val="20"/>
          <w:szCs w:val="20"/>
        </w:rPr>
        <w:t>,</w:t>
      </w:r>
      <w:r w:rsidR="00FE77EC" w:rsidRPr="00FE77EC">
        <w:rPr>
          <w:sz w:val="20"/>
          <w:szCs w:val="20"/>
        </w:rPr>
        <w:t xml:space="preserve"> with the agreement and evaluation of the General Water Services Plans by </w:t>
      </w:r>
      <w:r w:rsidRPr="00083E57">
        <w:rPr>
          <w:bCs/>
          <w:iCs/>
          <w:sz w:val="20"/>
          <w:szCs w:val="20"/>
        </w:rPr>
        <w:t>R.A.W.E.W.</w:t>
      </w:r>
      <w:r w:rsidR="00FE77EC" w:rsidRPr="00083E57">
        <w:rPr>
          <w:sz w:val="20"/>
          <w:szCs w:val="20"/>
        </w:rPr>
        <w:t>,</w:t>
      </w:r>
      <w:r w:rsidR="00FE77EC" w:rsidRPr="00FE77EC">
        <w:rPr>
          <w:sz w:val="20"/>
          <w:szCs w:val="20"/>
        </w:rPr>
        <w:t xml:space="preserve"> it is </w:t>
      </w:r>
      <w:r w:rsidR="00FE77EC" w:rsidRPr="00FE77EC">
        <w:rPr>
          <w:sz w:val="20"/>
          <w:szCs w:val="20"/>
        </w:rPr>
        <w:lastRenderedPageBreak/>
        <w:t xml:space="preserve">expected that the company will recover, according to </w:t>
      </w:r>
      <w:r>
        <w:rPr>
          <w:sz w:val="20"/>
          <w:szCs w:val="20"/>
        </w:rPr>
        <w:t xml:space="preserve">JMD </w:t>
      </w:r>
      <w:r w:rsidR="00FE77EC" w:rsidRPr="00FE77EC">
        <w:rPr>
          <w:sz w:val="20"/>
          <w:szCs w:val="20"/>
        </w:rPr>
        <w:t xml:space="preserve">352462, </w:t>
      </w:r>
      <w:r>
        <w:rPr>
          <w:sz w:val="20"/>
          <w:szCs w:val="20"/>
        </w:rPr>
        <w:t>G.G.</w:t>
      </w:r>
      <w:r w:rsidR="00FE77EC" w:rsidRPr="00FE77EC">
        <w:rPr>
          <w:sz w:val="20"/>
          <w:szCs w:val="20"/>
        </w:rPr>
        <w:t xml:space="preserve"> 5830/14.12 .2021, €157 million allocated for raw water for the period 2013-2020, as well as any other under-recovered amount.</w:t>
      </w:r>
    </w:p>
    <w:p w:rsidR="00783BF1" w:rsidRDefault="00783BF1" w:rsidP="00783BF1">
      <w:pPr>
        <w:jc w:val="both"/>
        <w:rPr>
          <w:sz w:val="20"/>
          <w:szCs w:val="20"/>
        </w:rPr>
      </w:pPr>
    </w:p>
    <w:p w:rsidR="0046504E" w:rsidRPr="00783BF1" w:rsidRDefault="0046504E" w:rsidP="00783BF1">
      <w:pPr>
        <w:jc w:val="both"/>
        <w:rPr>
          <w:sz w:val="20"/>
          <w:szCs w:val="20"/>
        </w:rPr>
      </w:pPr>
    </w:p>
    <w:p w:rsidR="00C97A40" w:rsidRPr="00C97A40" w:rsidRDefault="00C97A40" w:rsidP="00C97A40">
      <w:pPr>
        <w:jc w:val="both"/>
        <w:rPr>
          <w:sz w:val="20"/>
          <w:szCs w:val="20"/>
        </w:rPr>
      </w:pPr>
    </w:p>
    <w:p w:rsidR="00C97A40" w:rsidRDefault="00C97A40" w:rsidP="00C97A40">
      <w:pPr>
        <w:jc w:val="both"/>
        <w:rPr>
          <w:b/>
          <w:sz w:val="20"/>
          <w:szCs w:val="20"/>
          <w:u w:val="single"/>
        </w:rPr>
      </w:pPr>
      <w:r w:rsidRPr="00C97A40">
        <w:rPr>
          <w:b/>
          <w:sz w:val="20"/>
          <w:szCs w:val="20"/>
          <w:u w:val="single"/>
        </w:rPr>
        <w:t>Effects of geopolitical and energy crisis</w:t>
      </w:r>
    </w:p>
    <w:p w:rsidR="00C97A40" w:rsidRPr="00C97A40" w:rsidRDefault="00C97A40" w:rsidP="00C97A40">
      <w:pPr>
        <w:jc w:val="both"/>
        <w:rPr>
          <w:b/>
          <w:sz w:val="20"/>
          <w:szCs w:val="20"/>
          <w:u w:val="single"/>
        </w:rPr>
      </w:pPr>
    </w:p>
    <w:p w:rsidR="00C97A40" w:rsidRDefault="00C97A40" w:rsidP="00C97A40">
      <w:pPr>
        <w:jc w:val="both"/>
        <w:rPr>
          <w:sz w:val="20"/>
          <w:szCs w:val="20"/>
        </w:rPr>
      </w:pPr>
      <w:r w:rsidRPr="00C97A40">
        <w:rPr>
          <w:sz w:val="20"/>
          <w:szCs w:val="20"/>
        </w:rPr>
        <w:t>The current geopolitical crisis in Ukraine with the consequent sanctions on Russia by the European Union</w:t>
      </w:r>
      <w:r w:rsidR="00083E57">
        <w:rPr>
          <w:sz w:val="20"/>
          <w:szCs w:val="20"/>
        </w:rPr>
        <w:t>,</w:t>
      </w:r>
      <w:r w:rsidRPr="00C97A40">
        <w:rPr>
          <w:sz w:val="20"/>
          <w:szCs w:val="20"/>
        </w:rPr>
        <w:t xml:space="preserve"> have brought considerable uncertainty to the economic environment</w:t>
      </w:r>
      <w:r w:rsidRPr="00130E2C">
        <w:t xml:space="preserve"> </w:t>
      </w:r>
      <w:r w:rsidRPr="00C97A40">
        <w:rPr>
          <w:sz w:val="20"/>
          <w:szCs w:val="20"/>
        </w:rPr>
        <w:t>both at national, pan-European and global level. EYDAP is not directly exposed to the areas in question, therefore there is no direct impact on its activities.</w:t>
      </w:r>
    </w:p>
    <w:p w:rsidR="00CF2922" w:rsidRPr="00C97A40" w:rsidRDefault="00CF2922" w:rsidP="00C97A40">
      <w:pPr>
        <w:jc w:val="both"/>
        <w:rPr>
          <w:sz w:val="20"/>
          <w:szCs w:val="20"/>
        </w:rPr>
      </w:pPr>
    </w:p>
    <w:p w:rsidR="00C97A40" w:rsidRDefault="00C97A40" w:rsidP="00C97A40">
      <w:pPr>
        <w:jc w:val="both"/>
        <w:rPr>
          <w:sz w:val="20"/>
          <w:szCs w:val="20"/>
        </w:rPr>
      </w:pPr>
      <w:r w:rsidRPr="00C97A40">
        <w:rPr>
          <w:sz w:val="20"/>
          <w:szCs w:val="20"/>
        </w:rPr>
        <w:t>The management of EYDAP takes the necessary measures in order to minimize any effects. Stocks of especially critical water supply network materials are constantly being recorded and the immediate supply of materials deemed necessary is proceeding. At the moment, the Company does not face any problem of shortage of materials or their supply.</w:t>
      </w:r>
    </w:p>
    <w:p w:rsidR="00C97A40" w:rsidRPr="00C97A40" w:rsidRDefault="00C97A40" w:rsidP="00C97A40">
      <w:pPr>
        <w:jc w:val="both"/>
        <w:rPr>
          <w:sz w:val="20"/>
          <w:szCs w:val="20"/>
        </w:rPr>
      </w:pPr>
    </w:p>
    <w:p w:rsidR="00CF2922" w:rsidRDefault="00CF2922" w:rsidP="00C97A40">
      <w:pPr>
        <w:jc w:val="both"/>
        <w:rPr>
          <w:sz w:val="20"/>
          <w:szCs w:val="20"/>
        </w:rPr>
      </w:pPr>
      <w:r w:rsidRPr="00CF2922">
        <w:rPr>
          <w:sz w:val="20"/>
          <w:szCs w:val="20"/>
        </w:rPr>
        <w:t>However, the geopolitical crisis, combined with the pre-existing energy crisis, has led to a further increase in energy costs, especially in natural gas, which has dragged the market into price increases. According to the published data of ELSTAT, the average CPI for the twelve months January 2022 - December 2022, compared to the corresponding Index for the twelve months January 2021 - December 2021, increase</w:t>
      </w:r>
      <w:r w:rsidR="00083E57">
        <w:rPr>
          <w:sz w:val="20"/>
          <w:szCs w:val="20"/>
        </w:rPr>
        <w:t>d</w:t>
      </w:r>
      <w:r w:rsidRPr="00CF2922">
        <w:rPr>
          <w:sz w:val="20"/>
          <w:szCs w:val="20"/>
        </w:rPr>
        <w:t xml:space="preserve"> of 9.6%. The consequence of the above is the burden on the family and business budget, which has affected water consumption in the context of a more general household economy, but has not affected the pace of the Company's collections. An important role in the stable flow of collections is played, in addition to the company's policy, by the </w:t>
      </w:r>
      <w:r w:rsidR="00922587">
        <w:rPr>
          <w:sz w:val="20"/>
          <w:szCs w:val="20"/>
        </w:rPr>
        <w:t>affordable tariff</w:t>
      </w:r>
      <w:r w:rsidRPr="00CF2922">
        <w:rPr>
          <w:sz w:val="20"/>
          <w:szCs w:val="20"/>
        </w:rPr>
        <w:t>, but also by the positive image of the Company to the consumer public.</w:t>
      </w:r>
    </w:p>
    <w:p w:rsidR="00CF2922" w:rsidRDefault="00CF2922" w:rsidP="00C97A40">
      <w:pPr>
        <w:jc w:val="both"/>
        <w:rPr>
          <w:sz w:val="20"/>
          <w:szCs w:val="20"/>
        </w:rPr>
      </w:pPr>
    </w:p>
    <w:p w:rsidR="00CF2922" w:rsidRDefault="00CF2922" w:rsidP="00C97A40">
      <w:pPr>
        <w:jc w:val="both"/>
        <w:rPr>
          <w:sz w:val="20"/>
          <w:szCs w:val="20"/>
        </w:rPr>
      </w:pPr>
    </w:p>
    <w:p w:rsidR="00CF2922" w:rsidRDefault="00CF2922" w:rsidP="00CF2922">
      <w:pPr>
        <w:jc w:val="both"/>
        <w:rPr>
          <w:sz w:val="20"/>
          <w:szCs w:val="20"/>
        </w:rPr>
      </w:pPr>
      <w:r w:rsidRPr="00CF2922">
        <w:rPr>
          <w:sz w:val="20"/>
          <w:szCs w:val="20"/>
        </w:rPr>
        <w:t>The increase in prices has caused delays and difficulties in some of the Company's projects as the prices of materials, and therefore the initial budgets of the projects, have increased significantly between the time of the submission of the offer by the contractor and the execution of the project . In the ongoing contracts, requests for premiums were submitted by Contractors, following Law 4938/22 which includes urgent arrangements for the execution of public works contracts to support the ongoing contracts, due to the energy crisis and the large increases in the prices of materials and the energy caused by it. Their requests will be submitted for an opinion to the technical council of projects and studies of supervised entities of the Ministry of Infrastructure and Transport. In addition, a contractor of the Eastern Attica projects requested an extension of the schedule by 6 months.</w:t>
      </w:r>
    </w:p>
    <w:p w:rsidR="00CF2922" w:rsidRPr="00CF2922" w:rsidRDefault="00CF2922" w:rsidP="00CF2922">
      <w:pPr>
        <w:jc w:val="both"/>
        <w:rPr>
          <w:sz w:val="20"/>
          <w:szCs w:val="20"/>
        </w:rPr>
      </w:pPr>
    </w:p>
    <w:p w:rsidR="00CF2922" w:rsidRPr="00CF2922" w:rsidRDefault="00CF2922" w:rsidP="00CF2922">
      <w:pPr>
        <w:jc w:val="both"/>
        <w:rPr>
          <w:sz w:val="20"/>
          <w:szCs w:val="20"/>
        </w:rPr>
      </w:pPr>
      <w:r w:rsidRPr="00CF2922">
        <w:rPr>
          <w:sz w:val="20"/>
          <w:szCs w:val="20"/>
        </w:rPr>
        <w:t xml:space="preserve">EYDAP, for its ongoing supply/general services contracts, </w:t>
      </w:r>
      <w:r w:rsidRPr="006277A4">
        <w:rPr>
          <w:sz w:val="20"/>
          <w:szCs w:val="20"/>
        </w:rPr>
        <w:t xml:space="preserve">has received requests from contractors for price adjustments, mainly on the basis of </w:t>
      </w:r>
      <w:r w:rsidR="001C0463" w:rsidRPr="006277A4">
        <w:rPr>
          <w:sz w:val="20"/>
          <w:szCs w:val="20"/>
          <w:lang w:val="en-US"/>
        </w:rPr>
        <w:t xml:space="preserve">HSPPA </w:t>
      </w:r>
      <w:r w:rsidRPr="006277A4">
        <w:rPr>
          <w:sz w:val="20"/>
          <w:szCs w:val="20"/>
        </w:rPr>
        <w:t>document</w:t>
      </w:r>
      <w:r w:rsidRPr="00CF2922">
        <w:rPr>
          <w:sz w:val="20"/>
          <w:szCs w:val="20"/>
        </w:rPr>
        <w:t xml:space="preserve"> No. 2040/13.04.2022 with the Subject: "Clarifications regarding the increase of prices and supply chain issues due to the energy crisis, the crisis in Ukraine and the ongoing effects of COVID-19". It is noted that from the above requests, price adjustments amounting to €402,186.37 plus VAT have already been approved by relevant decisions.</w:t>
      </w:r>
    </w:p>
    <w:p w:rsidR="00CF2922" w:rsidRDefault="00CF2922" w:rsidP="00C97A40">
      <w:pPr>
        <w:jc w:val="both"/>
        <w:rPr>
          <w:sz w:val="20"/>
          <w:szCs w:val="20"/>
        </w:rPr>
      </w:pPr>
    </w:p>
    <w:p w:rsidR="00AC1E02" w:rsidRPr="00AC1E02" w:rsidRDefault="00CF2922" w:rsidP="00AC1E02">
      <w:pPr>
        <w:jc w:val="both"/>
        <w:rPr>
          <w:sz w:val="20"/>
          <w:szCs w:val="20"/>
        </w:rPr>
      </w:pPr>
      <w:r>
        <w:rPr>
          <w:sz w:val="20"/>
          <w:szCs w:val="20"/>
        </w:rPr>
        <w:t>The cost of supplying electricity, as mentioned above, amounted to 45.5 million euros, marking an increase of 98%, i.e. 22.6 million euros compared to 2021 where the cost of supply amounted to 22.9 million euros. Natural gas remained in 2022 at the same levels as in 2021, at €0.7 million. Fuel consumption in 2022 amounted to 0.9 million euros. The Company maintains contracts for the supply of unleaded gasoline with a fixed profit margin for the supplier, while the price is defined as the applicable price per liter as announced by the Hellenic Refineries on the day of delivery.</w:t>
      </w:r>
    </w:p>
    <w:p w:rsidR="00CF2922" w:rsidRDefault="00CF2922" w:rsidP="00CF2922">
      <w:pPr>
        <w:jc w:val="both"/>
        <w:rPr>
          <w:sz w:val="20"/>
          <w:szCs w:val="20"/>
        </w:rPr>
      </w:pPr>
    </w:p>
    <w:p w:rsidR="00CF2922" w:rsidRDefault="00CF2922" w:rsidP="00CF2922">
      <w:pPr>
        <w:jc w:val="both"/>
        <w:rPr>
          <w:sz w:val="20"/>
          <w:szCs w:val="20"/>
        </w:rPr>
      </w:pPr>
      <w:r w:rsidRPr="00CF2922">
        <w:rPr>
          <w:sz w:val="20"/>
          <w:szCs w:val="20"/>
        </w:rPr>
        <w:t>With reference to the forecasts of electricity costs for 2023, the Company has proceeded with a study of different scenarios, which show a downward trend.</w:t>
      </w:r>
    </w:p>
    <w:p w:rsidR="00CF2922" w:rsidRDefault="00CF2922" w:rsidP="00C97A40">
      <w:pPr>
        <w:jc w:val="both"/>
        <w:rPr>
          <w:sz w:val="20"/>
          <w:szCs w:val="20"/>
        </w:rPr>
      </w:pPr>
    </w:p>
    <w:p w:rsidR="00AC1E02" w:rsidRPr="0046504E" w:rsidRDefault="00AC1E02" w:rsidP="0046504E">
      <w:pPr>
        <w:jc w:val="both"/>
        <w:rPr>
          <w:sz w:val="20"/>
          <w:szCs w:val="20"/>
        </w:rPr>
      </w:pPr>
      <w:r w:rsidRPr="00AC1E02">
        <w:rPr>
          <w:sz w:val="20"/>
          <w:szCs w:val="20"/>
        </w:rPr>
        <w:t xml:space="preserve">After the continuous revaluations of electricity prices, and to reduce operating costs, EYDAP S.A. is in continuous processes that will lead to cost reduction (replacement of </w:t>
      </w:r>
      <w:r w:rsidRPr="00AC1E02">
        <w:rPr>
          <w:sz w:val="20"/>
          <w:szCs w:val="20"/>
        </w:rPr>
        <w:lastRenderedPageBreak/>
        <w:t xml:space="preserve">machinery, tender for a new energy provider, </w:t>
      </w:r>
      <w:r w:rsidR="0046504E">
        <w:rPr>
          <w:sz w:val="20"/>
          <w:szCs w:val="20"/>
          <w:lang w:val="en-US"/>
        </w:rPr>
        <w:t xml:space="preserve">monitoring </w:t>
      </w:r>
      <w:r w:rsidR="0046504E">
        <w:rPr>
          <w:sz w:val="20"/>
          <w:szCs w:val="20"/>
        </w:rPr>
        <w:t>, tender procedures for the creation of PV plants, etc.)</w:t>
      </w:r>
    </w:p>
    <w:p w:rsidR="0046504E" w:rsidRDefault="0046504E" w:rsidP="00AC1E02">
      <w:pPr>
        <w:jc w:val="both"/>
        <w:rPr>
          <w:sz w:val="20"/>
          <w:szCs w:val="20"/>
        </w:rPr>
      </w:pPr>
    </w:p>
    <w:p w:rsidR="00AC1E02" w:rsidRDefault="00AC1E02" w:rsidP="00AC1E02">
      <w:pPr>
        <w:jc w:val="both"/>
        <w:rPr>
          <w:sz w:val="20"/>
          <w:szCs w:val="20"/>
        </w:rPr>
      </w:pPr>
      <w:r w:rsidRPr="00AC1E02">
        <w:rPr>
          <w:sz w:val="20"/>
          <w:szCs w:val="20"/>
        </w:rPr>
        <w:t xml:space="preserve">Regarding the existing RES units, the current contracts for both the </w:t>
      </w:r>
      <w:r w:rsidR="00C15B0A">
        <w:rPr>
          <w:sz w:val="20"/>
          <w:szCs w:val="20"/>
        </w:rPr>
        <w:t>Small Hydro Electric Plants</w:t>
      </w:r>
      <w:r w:rsidRPr="00AC1E02">
        <w:rPr>
          <w:sz w:val="20"/>
          <w:szCs w:val="20"/>
        </w:rPr>
        <w:t xml:space="preserve"> as well as for the existing 1.97 MW PV, concern fixed prices.</w:t>
      </w:r>
    </w:p>
    <w:p w:rsidR="0046504E" w:rsidRPr="00AC1E02" w:rsidRDefault="0046504E" w:rsidP="00AC1E02">
      <w:pPr>
        <w:jc w:val="both"/>
        <w:rPr>
          <w:sz w:val="20"/>
          <w:szCs w:val="20"/>
        </w:rPr>
      </w:pPr>
    </w:p>
    <w:p w:rsidR="00AC1E02" w:rsidRPr="00AC1E02" w:rsidRDefault="00AC1E02" w:rsidP="00AC1E02">
      <w:pPr>
        <w:jc w:val="both"/>
        <w:rPr>
          <w:sz w:val="20"/>
          <w:szCs w:val="20"/>
        </w:rPr>
      </w:pPr>
      <w:r w:rsidRPr="00AC1E02">
        <w:rPr>
          <w:sz w:val="20"/>
          <w:szCs w:val="20"/>
        </w:rPr>
        <w:t>EYDAP in the context of the utilization of renewable and alternative energy sources has developed:</w:t>
      </w:r>
    </w:p>
    <w:p w:rsidR="00AC1E02" w:rsidRPr="006277A4" w:rsidRDefault="00AC1E02" w:rsidP="00AC1E02">
      <w:pPr>
        <w:numPr>
          <w:ilvl w:val="0"/>
          <w:numId w:val="23"/>
        </w:numPr>
        <w:jc w:val="both"/>
        <w:rPr>
          <w:sz w:val="20"/>
          <w:szCs w:val="20"/>
        </w:rPr>
      </w:pPr>
      <w:r w:rsidRPr="00AC1E02">
        <w:rPr>
          <w:sz w:val="20"/>
          <w:szCs w:val="20"/>
        </w:rPr>
        <w:t xml:space="preserve">Energy production facilities from small hydroelectric projects installed in its aqueducts and in </w:t>
      </w:r>
      <w:r w:rsidRPr="006277A4">
        <w:rPr>
          <w:sz w:val="20"/>
          <w:szCs w:val="20"/>
        </w:rPr>
        <w:t xml:space="preserve">the </w:t>
      </w:r>
      <w:r w:rsidR="004463D0" w:rsidRPr="006277A4">
        <w:rPr>
          <w:sz w:val="20"/>
          <w:szCs w:val="20"/>
        </w:rPr>
        <w:t xml:space="preserve">WWTP of </w:t>
      </w:r>
      <w:proofErr w:type="spellStart"/>
      <w:r w:rsidR="004463D0" w:rsidRPr="006277A4">
        <w:rPr>
          <w:sz w:val="20"/>
          <w:szCs w:val="20"/>
        </w:rPr>
        <w:t>Psyttal</w:t>
      </w:r>
      <w:r w:rsidRPr="006277A4">
        <w:rPr>
          <w:sz w:val="20"/>
          <w:szCs w:val="20"/>
        </w:rPr>
        <w:t>ia</w:t>
      </w:r>
      <w:proofErr w:type="spellEnd"/>
      <w:r w:rsidRPr="006277A4">
        <w:rPr>
          <w:sz w:val="20"/>
          <w:szCs w:val="20"/>
        </w:rPr>
        <w:t>.</w:t>
      </w:r>
    </w:p>
    <w:p w:rsidR="00AC1E02" w:rsidRPr="006277A4" w:rsidRDefault="00AC1E02" w:rsidP="00AC1E02">
      <w:pPr>
        <w:numPr>
          <w:ilvl w:val="0"/>
          <w:numId w:val="23"/>
        </w:numPr>
        <w:jc w:val="both"/>
        <w:rPr>
          <w:sz w:val="20"/>
          <w:szCs w:val="20"/>
        </w:rPr>
      </w:pPr>
      <w:r w:rsidRPr="006277A4">
        <w:rPr>
          <w:sz w:val="20"/>
          <w:szCs w:val="20"/>
        </w:rPr>
        <w:t>Thermal and electrical energy plants, utilizing the biogas produced from the treatment of sludge in municipal wastewater treatment plants.</w:t>
      </w:r>
    </w:p>
    <w:p w:rsidR="00AC1E02" w:rsidRPr="006277A4" w:rsidRDefault="00AC1E02" w:rsidP="00AC1E02">
      <w:pPr>
        <w:numPr>
          <w:ilvl w:val="0"/>
          <w:numId w:val="23"/>
        </w:numPr>
        <w:jc w:val="both"/>
        <w:rPr>
          <w:sz w:val="20"/>
          <w:szCs w:val="20"/>
        </w:rPr>
      </w:pPr>
      <w:r w:rsidRPr="006277A4">
        <w:rPr>
          <w:sz w:val="20"/>
          <w:szCs w:val="20"/>
        </w:rPr>
        <w:t xml:space="preserve">Photovoltaic station at the facilities of </w:t>
      </w:r>
      <w:proofErr w:type="spellStart"/>
      <w:r w:rsidR="004463D0" w:rsidRPr="006277A4">
        <w:rPr>
          <w:sz w:val="20"/>
          <w:szCs w:val="20"/>
        </w:rPr>
        <w:t>Acharnai</w:t>
      </w:r>
      <w:proofErr w:type="spellEnd"/>
      <w:r w:rsidR="004463D0" w:rsidRPr="006277A4">
        <w:rPr>
          <w:sz w:val="20"/>
          <w:szCs w:val="20"/>
        </w:rPr>
        <w:t xml:space="preserve"> WTP</w:t>
      </w:r>
      <w:r w:rsidRPr="006277A4">
        <w:rPr>
          <w:sz w:val="20"/>
          <w:szCs w:val="20"/>
        </w:rPr>
        <w:t>.</w:t>
      </w:r>
    </w:p>
    <w:p w:rsidR="0046504E" w:rsidRDefault="0046504E" w:rsidP="00AC1E02">
      <w:pPr>
        <w:jc w:val="both"/>
        <w:rPr>
          <w:sz w:val="20"/>
          <w:szCs w:val="20"/>
        </w:rPr>
      </w:pPr>
    </w:p>
    <w:p w:rsidR="00AC1E02" w:rsidRPr="00AC1E02" w:rsidRDefault="00AC1E02" w:rsidP="00AC1E02">
      <w:pPr>
        <w:jc w:val="both"/>
        <w:rPr>
          <w:sz w:val="20"/>
          <w:szCs w:val="20"/>
        </w:rPr>
      </w:pPr>
      <w:r w:rsidRPr="00AC1E02">
        <w:rPr>
          <w:sz w:val="20"/>
          <w:szCs w:val="20"/>
        </w:rPr>
        <w:t>The contribution of RES to the total consumption amounts to 50.28%.</w:t>
      </w:r>
    </w:p>
    <w:p w:rsidR="0046504E" w:rsidRDefault="0046504E" w:rsidP="00AC1E02">
      <w:pPr>
        <w:jc w:val="both"/>
        <w:rPr>
          <w:sz w:val="20"/>
          <w:szCs w:val="20"/>
        </w:rPr>
      </w:pPr>
    </w:p>
    <w:p w:rsidR="00AC1E02" w:rsidRPr="00AC1E02" w:rsidRDefault="00AC1E02" w:rsidP="00AC1E02">
      <w:pPr>
        <w:jc w:val="both"/>
        <w:rPr>
          <w:sz w:val="20"/>
          <w:szCs w:val="20"/>
        </w:rPr>
      </w:pPr>
      <w:r w:rsidRPr="00AC1E02">
        <w:rPr>
          <w:sz w:val="20"/>
          <w:szCs w:val="20"/>
        </w:rPr>
        <w:t xml:space="preserve">In addition, the Company completed the design of 4 PV Stations with a total power of 3.5 MW. Already the first 2 on the ground (total power of 2 </w:t>
      </w:r>
      <w:r w:rsidRPr="00AC1E02">
        <w:rPr>
          <w:sz w:val="20"/>
          <w:szCs w:val="20"/>
          <w:lang w:val="en-US"/>
        </w:rPr>
        <w:t xml:space="preserve">MW </w:t>
      </w:r>
      <w:r w:rsidRPr="00AC1E02">
        <w:rPr>
          <w:sz w:val="20"/>
          <w:szCs w:val="20"/>
        </w:rPr>
        <w:t xml:space="preserve">) are in the process of selecting a final contractor and the other 2 on roofs (total power of 1.5 </w:t>
      </w:r>
      <w:r w:rsidRPr="00AC1E02">
        <w:rPr>
          <w:sz w:val="20"/>
          <w:szCs w:val="20"/>
          <w:lang w:val="en-US"/>
        </w:rPr>
        <w:t xml:space="preserve">MW </w:t>
      </w:r>
      <w:r w:rsidRPr="00AC1E02">
        <w:rPr>
          <w:sz w:val="20"/>
          <w:szCs w:val="20"/>
        </w:rPr>
        <w:t>) are in the process of evaluating the offers by the Tender Committee.</w:t>
      </w:r>
    </w:p>
    <w:p w:rsidR="00AC1E02" w:rsidRPr="00AC1E02" w:rsidRDefault="00AC1E02" w:rsidP="00AC1E02">
      <w:pPr>
        <w:jc w:val="both"/>
        <w:rPr>
          <w:sz w:val="20"/>
          <w:szCs w:val="20"/>
        </w:rPr>
      </w:pPr>
      <w:r w:rsidRPr="00AC1E02">
        <w:rPr>
          <w:sz w:val="20"/>
          <w:szCs w:val="20"/>
        </w:rPr>
        <w:t>The gradual replacement of conventional vehicles with electric vehicles continues according to the company's planning.</w:t>
      </w:r>
    </w:p>
    <w:p w:rsidR="008235EF" w:rsidRDefault="008235EF" w:rsidP="00C97A40">
      <w:pPr>
        <w:jc w:val="both"/>
        <w:rPr>
          <w:b/>
          <w:sz w:val="20"/>
          <w:szCs w:val="20"/>
          <w:u w:val="single"/>
        </w:rPr>
      </w:pPr>
    </w:p>
    <w:p w:rsidR="004E074F" w:rsidRPr="004E074F" w:rsidRDefault="004E074F" w:rsidP="004E074F">
      <w:pPr>
        <w:jc w:val="both"/>
        <w:rPr>
          <w:sz w:val="20"/>
          <w:szCs w:val="20"/>
        </w:rPr>
      </w:pPr>
      <w:r w:rsidRPr="004E074F">
        <w:rPr>
          <w:sz w:val="20"/>
          <w:szCs w:val="20"/>
        </w:rPr>
        <w:t xml:space="preserve">The Company has placed particular emphasis on strengthening the ESG strategy </w:t>
      </w:r>
      <w:r w:rsidR="00C15B0A">
        <w:rPr>
          <w:sz w:val="20"/>
          <w:szCs w:val="20"/>
        </w:rPr>
        <w:t>that</w:t>
      </w:r>
      <w:r w:rsidRPr="004E074F">
        <w:rPr>
          <w:sz w:val="20"/>
          <w:szCs w:val="20"/>
        </w:rPr>
        <w:t xml:space="preserve"> follows. To this end, it has established measurable indicators for the environment, society and good governance, based on internationally recognized standards, which are systematically monitored and for which improvement actions have been developed linked to the strategic tripartite of Safety, Efficiency, Development. The clear objective of the Company's strategy is to reduce our carbon footprint and to make a substantial contribution to strengthening the resilience of its infrastructure and the societies in which it operates and develops, as well as to strengthening its adaptive capacity against the risks and natural disasters that result from climate change. EYDAP aims to achieve zero carbon water by 2030, which will make the company largely independent of the energy market.</w:t>
      </w:r>
    </w:p>
    <w:p w:rsidR="004E074F" w:rsidRDefault="004E074F" w:rsidP="004E074F">
      <w:pPr>
        <w:jc w:val="both"/>
        <w:rPr>
          <w:sz w:val="20"/>
          <w:szCs w:val="20"/>
        </w:rPr>
      </w:pPr>
    </w:p>
    <w:p w:rsidR="001F139F" w:rsidRPr="001F139F" w:rsidRDefault="001F139F" w:rsidP="001F139F">
      <w:pPr>
        <w:jc w:val="both"/>
        <w:rPr>
          <w:sz w:val="20"/>
          <w:szCs w:val="20"/>
        </w:rPr>
      </w:pPr>
      <w:r w:rsidRPr="001F139F">
        <w:rPr>
          <w:sz w:val="20"/>
          <w:szCs w:val="20"/>
        </w:rPr>
        <w:t>Dealing with climate change is one of the great modern challenges. The Company, seeking to respond to the challenges of prevention and precaution arising from the risks of climate change, applies principles such as:</w:t>
      </w:r>
    </w:p>
    <w:p w:rsidR="001F139F" w:rsidRPr="001F139F" w:rsidRDefault="001F139F" w:rsidP="001F139F">
      <w:pPr>
        <w:numPr>
          <w:ilvl w:val="0"/>
          <w:numId w:val="29"/>
        </w:numPr>
        <w:jc w:val="both"/>
        <w:rPr>
          <w:sz w:val="20"/>
          <w:szCs w:val="20"/>
        </w:rPr>
      </w:pPr>
      <w:r w:rsidRPr="001F139F">
        <w:rPr>
          <w:sz w:val="20"/>
          <w:szCs w:val="20"/>
        </w:rPr>
        <w:t>Strategy to improve energy efficiency, save energy and reduce carbon footprint, and sustainably manage water resources through reuse of treated wastewater and utilization of alternative water resources for irrigation use.</w:t>
      </w:r>
    </w:p>
    <w:p w:rsidR="001F139F" w:rsidRPr="001F139F" w:rsidRDefault="001F139F" w:rsidP="001F139F">
      <w:pPr>
        <w:numPr>
          <w:ilvl w:val="0"/>
          <w:numId w:val="29"/>
        </w:numPr>
        <w:jc w:val="both"/>
        <w:rPr>
          <w:sz w:val="20"/>
          <w:szCs w:val="20"/>
        </w:rPr>
      </w:pPr>
      <w:r w:rsidRPr="001F139F">
        <w:rPr>
          <w:sz w:val="20"/>
          <w:szCs w:val="20"/>
        </w:rPr>
        <w:t xml:space="preserve">Strict adherence to regulations and environmental specifications in the design of water supply and </w:t>
      </w:r>
      <w:r w:rsidR="00C15B0A">
        <w:rPr>
          <w:sz w:val="20"/>
          <w:szCs w:val="20"/>
        </w:rPr>
        <w:t>sewerage</w:t>
      </w:r>
      <w:r w:rsidRPr="001F139F">
        <w:rPr>
          <w:sz w:val="20"/>
          <w:szCs w:val="20"/>
        </w:rPr>
        <w:t xml:space="preserve"> projects with safety mechanisms against environmental accidents</w:t>
      </w:r>
    </w:p>
    <w:p w:rsidR="001F139F" w:rsidRPr="001F139F" w:rsidRDefault="001F139F" w:rsidP="001F139F">
      <w:pPr>
        <w:numPr>
          <w:ilvl w:val="0"/>
          <w:numId w:val="29"/>
        </w:numPr>
        <w:jc w:val="both"/>
        <w:rPr>
          <w:sz w:val="20"/>
          <w:szCs w:val="20"/>
        </w:rPr>
      </w:pPr>
      <w:r w:rsidRPr="001F139F">
        <w:rPr>
          <w:sz w:val="20"/>
          <w:szCs w:val="20"/>
        </w:rPr>
        <w:t>Selection of materials, machinery and vehicles and design of projects with modern environmental specifications, with the aim of energy saving and the transition to systems with low greenhouse gas emissions</w:t>
      </w:r>
    </w:p>
    <w:p w:rsidR="001F139F" w:rsidRPr="001F139F" w:rsidRDefault="001F139F" w:rsidP="001F139F">
      <w:pPr>
        <w:jc w:val="both"/>
        <w:rPr>
          <w:sz w:val="20"/>
          <w:szCs w:val="20"/>
        </w:rPr>
      </w:pPr>
      <w:r w:rsidRPr="001F139F">
        <w:rPr>
          <w:sz w:val="20"/>
          <w:szCs w:val="20"/>
        </w:rPr>
        <w:t> </w:t>
      </w:r>
    </w:p>
    <w:p w:rsidR="001F139F" w:rsidRPr="001F139F" w:rsidRDefault="001F139F" w:rsidP="001F139F">
      <w:pPr>
        <w:jc w:val="both"/>
        <w:rPr>
          <w:sz w:val="20"/>
          <w:szCs w:val="20"/>
        </w:rPr>
      </w:pPr>
      <w:r w:rsidRPr="001F139F">
        <w:rPr>
          <w:sz w:val="20"/>
          <w:szCs w:val="20"/>
        </w:rPr>
        <w:t>In the context of adopting international best practices in the effort to harmonize it with ESG criteria, the Company intends to follow in 2023 the recommendations of financial disclosures related to the climate (Total Carbon Financial Disclosures - TCFD) issued by the Financial Stability Board (FSB). The aim is that through the adoption of TCFD recommendations, the financial risks and opportunities related to climate change will become a natural part of the Company's risk management processes and strategic planning.</w:t>
      </w:r>
    </w:p>
    <w:p w:rsidR="0088677B" w:rsidRPr="0088677B" w:rsidRDefault="0088677B" w:rsidP="0088677B">
      <w:pPr>
        <w:jc w:val="both"/>
        <w:rPr>
          <w:sz w:val="20"/>
          <w:szCs w:val="20"/>
        </w:rPr>
      </w:pPr>
      <w:bookmarkStart w:id="0" w:name="_GoBack"/>
      <w:bookmarkEnd w:id="0"/>
    </w:p>
    <w:p w:rsidR="0088677B" w:rsidRPr="004E074F" w:rsidRDefault="0088677B" w:rsidP="004E074F">
      <w:pPr>
        <w:jc w:val="both"/>
        <w:rPr>
          <w:sz w:val="20"/>
          <w:szCs w:val="20"/>
        </w:rPr>
      </w:pPr>
    </w:p>
    <w:p w:rsidR="004E074F" w:rsidRPr="004E074F" w:rsidRDefault="004E074F" w:rsidP="004E074F">
      <w:pPr>
        <w:jc w:val="both"/>
        <w:rPr>
          <w:sz w:val="20"/>
          <w:szCs w:val="20"/>
        </w:rPr>
      </w:pPr>
      <w:r w:rsidRPr="004E074F">
        <w:rPr>
          <w:sz w:val="20"/>
          <w:szCs w:val="20"/>
        </w:rPr>
        <w:t xml:space="preserve">The Company will continue in 2023 with this prioritization while at the same time focusing on the rationalization of operating costs, with an emphasis on energy costs, the acceleration of the implementation of the investment program with a focus on the projects of Eastern Attica and the projects to reduce the priceless water that will improve the </w:t>
      </w:r>
      <w:r w:rsidRPr="004E074F">
        <w:rPr>
          <w:sz w:val="20"/>
          <w:szCs w:val="20"/>
        </w:rPr>
        <w:lastRenderedPageBreak/>
        <w:t>environmental footprint, the improvement of the services provided, the expansion of the activities and the customer base.</w:t>
      </w:r>
    </w:p>
    <w:p w:rsidR="004E074F" w:rsidRPr="004E074F" w:rsidRDefault="004E074F" w:rsidP="004E074F">
      <w:pPr>
        <w:jc w:val="both"/>
        <w:rPr>
          <w:sz w:val="20"/>
          <w:szCs w:val="20"/>
        </w:rPr>
      </w:pPr>
    </w:p>
    <w:p w:rsidR="00F75AE9" w:rsidRPr="00F75AE9" w:rsidRDefault="00F75AE9" w:rsidP="00F75AE9">
      <w:pPr>
        <w:jc w:val="both"/>
        <w:rPr>
          <w:bCs/>
          <w:iCs/>
          <w:sz w:val="20"/>
          <w:szCs w:val="20"/>
        </w:rPr>
      </w:pPr>
      <w:r w:rsidRPr="00F75AE9">
        <w:rPr>
          <w:bCs/>
          <w:iCs/>
          <w:sz w:val="20"/>
          <w:szCs w:val="20"/>
        </w:rPr>
        <w:t xml:space="preserve">On March 20, 2023, the 7 &amp; 8/2023 decisions of the </w:t>
      </w:r>
      <w:r w:rsidR="00C15B0A" w:rsidRPr="00C15B0A">
        <w:rPr>
          <w:bCs/>
          <w:iCs/>
          <w:sz w:val="20"/>
          <w:szCs w:val="20"/>
        </w:rPr>
        <w:t>Three-member Council of Compliance of the Council of State</w:t>
      </w:r>
      <w:r w:rsidRPr="00F75AE9">
        <w:rPr>
          <w:bCs/>
          <w:iCs/>
          <w:sz w:val="20"/>
          <w:szCs w:val="20"/>
        </w:rPr>
        <w:t xml:space="preserve"> were published, </w:t>
      </w:r>
      <w:r w:rsidR="00C15B0A">
        <w:rPr>
          <w:bCs/>
          <w:iCs/>
          <w:sz w:val="20"/>
          <w:szCs w:val="20"/>
        </w:rPr>
        <w:t>by</w:t>
      </w:r>
      <w:r w:rsidRPr="00F75AE9">
        <w:rPr>
          <w:bCs/>
          <w:iCs/>
          <w:sz w:val="20"/>
          <w:szCs w:val="20"/>
        </w:rPr>
        <w:t xml:space="preserve"> which </w:t>
      </w:r>
      <w:r w:rsidR="00C15B0A">
        <w:rPr>
          <w:bCs/>
          <w:iCs/>
          <w:sz w:val="20"/>
          <w:szCs w:val="20"/>
        </w:rPr>
        <w:t xml:space="preserve">the </w:t>
      </w:r>
      <w:proofErr w:type="spellStart"/>
      <w:r w:rsidR="00C15B0A">
        <w:rPr>
          <w:bCs/>
          <w:iCs/>
          <w:sz w:val="20"/>
          <w:szCs w:val="20"/>
        </w:rPr>
        <w:t>CoS</w:t>
      </w:r>
      <w:proofErr w:type="spellEnd"/>
      <w:r w:rsidRPr="00F75AE9">
        <w:rPr>
          <w:bCs/>
          <w:iCs/>
          <w:sz w:val="20"/>
          <w:szCs w:val="20"/>
        </w:rPr>
        <w:t xml:space="preserve"> ruled that the executive and legislative power, with articles 114 and 115 of Law 4964/2022, did not complied with the decisions of the </w:t>
      </w:r>
      <w:proofErr w:type="spellStart"/>
      <w:r w:rsidR="00C15B0A">
        <w:rPr>
          <w:bCs/>
          <w:iCs/>
          <w:sz w:val="20"/>
          <w:szCs w:val="20"/>
        </w:rPr>
        <w:t>CoS</w:t>
      </w:r>
      <w:proofErr w:type="spellEnd"/>
      <w:r w:rsidRPr="00F75AE9">
        <w:rPr>
          <w:bCs/>
          <w:iCs/>
          <w:sz w:val="20"/>
          <w:szCs w:val="20"/>
        </w:rPr>
        <w:t xml:space="preserve"> 190 &amp; 191/2022, by which the transfer of the shares of EYDAP and EYATH from the State to the </w:t>
      </w:r>
      <w:r w:rsidR="00C15B0A">
        <w:rPr>
          <w:bCs/>
          <w:iCs/>
          <w:sz w:val="20"/>
          <w:szCs w:val="20"/>
        </w:rPr>
        <w:t>HCAP</w:t>
      </w:r>
      <w:r w:rsidRPr="00F75AE9">
        <w:rPr>
          <w:bCs/>
          <w:iCs/>
          <w:sz w:val="20"/>
          <w:szCs w:val="20"/>
        </w:rPr>
        <w:t xml:space="preserve"> was ruled unconstitutional.</w:t>
      </w:r>
    </w:p>
    <w:p w:rsidR="00EA2B96" w:rsidRPr="002352F6" w:rsidRDefault="00EA2B96" w:rsidP="00F75AE9">
      <w:pPr>
        <w:jc w:val="both"/>
        <w:rPr>
          <w:bCs/>
          <w:iCs/>
          <w:sz w:val="20"/>
          <w:szCs w:val="20"/>
        </w:rPr>
      </w:pPr>
    </w:p>
    <w:p w:rsidR="00C97A40" w:rsidRPr="00EA2B96" w:rsidRDefault="00EA2B96" w:rsidP="00F75AE9">
      <w:pPr>
        <w:jc w:val="both"/>
        <w:rPr>
          <w:bCs/>
          <w:iCs/>
          <w:sz w:val="20"/>
          <w:szCs w:val="20"/>
        </w:rPr>
      </w:pPr>
      <w:r>
        <w:rPr>
          <w:bCs/>
          <w:iCs/>
          <w:sz w:val="20"/>
          <w:szCs w:val="20"/>
        </w:rPr>
        <w:t xml:space="preserve">According to the decisions of the Council of </w:t>
      </w:r>
      <w:r w:rsidR="00C15B0A">
        <w:rPr>
          <w:bCs/>
          <w:iCs/>
          <w:sz w:val="20"/>
          <w:szCs w:val="20"/>
        </w:rPr>
        <w:t>State</w:t>
      </w:r>
      <w:r>
        <w:rPr>
          <w:bCs/>
          <w:iCs/>
          <w:sz w:val="20"/>
          <w:szCs w:val="20"/>
        </w:rPr>
        <w:t xml:space="preserve">, the Ministry of Finance should take all the necessary actions, within </w:t>
      </w:r>
      <w:r w:rsidR="00C15B0A">
        <w:rPr>
          <w:bCs/>
          <w:iCs/>
          <w:sz w:val="20"/>
          <w:szCs w:val="20"/>
        </w:rPr>
        <w:t xml:space="preserve">eight </w:t>
      </w:r>
      <w:r>
        <w:rPr>
          <w:bCs/>
          <w:iCs/>
          <w:sz w:val="20"/>
          <w:szCs w:val="20"/>
        </w:rPr>
        <w:t>months at the latest, in order to return the shares of EYDAP and EYATH to the State. EYDAP undertakes that when it receives relevant notification, it will immediately proceed with the necessary actions.</w:t>
      </w:r>
    </w:p>
    <w:p w:rsidR="00F75AE9" w:rsidRDefault="00F75AE9" w:rsidP="00C97A40">
      <w:pPr>
        <w:jc w:val="both"/>
        <w:rPr>
          <w:sz w:val="20"/>
          <w:szCs w:val="20"/>
        </w:rPr>
      </w:pPr>
    </w:p>
    <w:p w:rsidR="00C97A40" w:rsidRDefault="00C97A40" w:rsidP="00C97A40">
      <w:pPr>
        <w:jc w:val="both"/>
        <w:rPr>
          <w:sz w:val="20"/>
          <w:szCs w:val="20"/>
        </w:rPr>
      </w:pPr>
      <w:r w:rsidRPr="00C97A40">
        <w:rPr>
          <w:sz w:val="20"/>
          <w:szCs w:val="20"/>
        </w:rPr>
        <w:t xml:space="preserve">The CEO of the Company, </w:t>
      </w:r>
      <w:proofErr w:type="spellStart"/>
      <w:r w:rsidRPr="00C97A40">
        <w:rPr>
          <w:sz w:val="20"/>
          <w:szCs w:val="20"/>
        </w:rPr>
        <w:t>Haris</w:t>
      </w:r>
      <w:proofErr w:type="spellEnd"/>
      <w:r w:rsidRPr="00C97A40">
        <w:rPr>
          <w:sz w:val="20"/>
          <w:szCs w:val="20"/>
        </w:rPr>
        <w:t xml:space="preserve"> </w:t>
      </w:r>
      <w:proofErr w:type="spellStart"/>
      <w:r w:rsidRPr="00C97A40">
        <w:rPr>
          <w:sz w:val="20"/>
          <w:szCs w:val="20"/>
        </w:rPr>
        <w:t>Sahinis</w:t>
      </w:r>
      <w:proofErr w:type="spellEnd"/>
      <w:r w:rsidRPr="00C97A40">
        <w:rPr>
          <w:sz w:val="20"/>
          <w:szCs w:val="20"/>
        </w:rPr>
        <w:t>, commenting on the financial results of 2022, stated:</w:t>
      </w:r>
    </w:p>
    <w:p w:rsidR="00C97A40" w:rsidRDefault="00C97A40" w:rsidP="00C97A40">
      <w:pPr>
        <w:jc w:val="both"/>
        <w:rPr>
          <w:sz w:val="20"/>
          <w:szCs w:val="20"/>
        </w:rPr>
      </w:pPr>
    </w:p>
    <w:p w:rsidR="00C97A40" w:rsidRPr="00C97A40" w:rsidRDefault="004E074F" w:rsidP="00C97A40">
      <w:pPr>
        <w:jc w:val="both"/>
        <w:rPr>
          <w:i/>
          <w:sz w:val="20"/>
          <w:szCs w:val="20"/>
        </w:rPr>
      </w:pPr>
      <w:r>
        <w:rPr>
          <w:i/>
          <w:sz w:val="20"/>
          <w:szCs w:val="20"/>
        </w:rPr>
        <w:t xml:space="preserve">"During 2022 EYDAP supported its consumers by maintaining </w:t>
      </w:r>
      <w:r w:rsidR="00C15B0A">
        <w:rPr>
          <w:i/>
          <w:sz w:val="20"/>
          <w:szCs w:val="20"/>
          <w:lang w:val="en-US"/>
        </w:rPr>
        <w:t>a</w:t>
      </w:r>
      <w:r>
        <w:rPr>
          <w:i/>
          <w:sz w:val="20"/>
          <w:szCs w:val="20"/>
        </w:rPr>
        <w:t xml:space="preserve"> low tariff, absorbing the increased energy costs. We </w:t>
      </w:r>
      <w:proofErr w:type="spellStart"/>
      <w:r w:rsidR="00C15B0A">
        <w:rPr>
          <w:i/>
          <w:sz w:val="20"/>
          <w:szCs w:val="20"/>
        </w:rPr>
        <w:t>ensist</w:t>
      </w:r>
      <w:proofErr w:type="spellEnd"/>
      <w:r>
        <w:rPr>
          <w:i/>
          <w:sz w:val="20"/>
          <w:szCs w:val="20"/>
        </w:rPr>
        <w:t xml:space="preserve"> to our Safety-Efficiency-Development strategy and doubled our investments in major projects that will improve the lives of thousands of citizens, lead the Company to a sustainable future while also contributing to the country's GDP. EYDAP is also entering a new regulatory framework, which will provide the stability required for the further development of the Company. The Company's commitment to </w:t>
      </w:r>
      <w:r w:rsidR="00F6527C">
        <w:rPr>
          <w:i/>
          <w:sz w:val="20"/>
          <w:szCs w:val="20"/>
          <w:lang w:val="en-US"/>
        </w:rPr>
        <w:t xml:space="preserve">ESG </w:t>
      </w:r>
      <w:r w:rsidR="00F6527C">
        <w:rPr>
          <w:i/>
          <w:sz w:val="20"/>
          <w:szCs w:val="20"/>
        </w:rPr>
        <w:t xml:space="preserve">goals is already reflected in the significant improvement of its </w:t>
      </w:r>
      <w:r w:rsidR="00F6527C" w:rsidRPr="00F6527C">
        <w:rPr>
          <w:bCs/>
          <w:i/>
          <w:sz w:val="20"/>
          <w:szCs w:val="20"/>
        </w:rPr>
        <w:t xml:space="preserve">ESG rating by all international rating agencies. </w:t>
      </w:r>
      <w:r w:rsidR="00C97A40" w:rsidRPr="00C97A40">
        <w:rPr>
          <w:i/>
          <w:sz w:val="20"/>
          <w:szCs w:val="20"/>
        </w:rPr>
        <w:t>»</w:t>
      </w:r>
    </w:p>
    <w:p w:rsidR="00C97A40" w:rsidRPr="00C97A40" w:rsidRDefault="00C97A40" w:rsidP="00C97A40">
      <w:pPr>
        <w:rPr>
          <w:sz w:val="20"/>
          <w:szCs w:val="20"/>
        </w:rPr>
      </w:pPr>
    </w:p>
    <w:p w:rsidR="00C97A40" w:rsidRDefault="00C97A40" w:rsidP="00C97A40"/>
    <w:p w:rsidR="00C97A40" w:rsidRDefault="00C97A40" w:rsidP="00C97A40"/>
    <w:p w:rsidR="00C97A40" w:rsidRDefault="00C97A40" w:rsidP="00C97A40"/>
    <w:p w:rsidR="00C97A40" w:rsidRDefault="00C97A40" w:rsidP="00C97A40"/>
    <w:p w:rsidR="00C97A40" w:rsidRDefault="00C97A40" w:rsidP="00C97A40"/>
    <w:p w:rsidR="0088677B" w:rsidRDefault="0088677B" w:rsidP="00C97A40"/>
    <w:p w:rsidR="0088677B" w:rsidRDefault="0088677B" w:rsidP="00C97A40"/>
    <w:p w:rsidR="0088677B" w:rsidRDefault="0088677B" w:rsidP="00C97A40"/>
    <w:p w:rsidR="0088677B" w:rsidRDefault="0088677B" w:rsidP="00C97A40">
      <w:r w:rsidRPr="0088677B">
        <w:t xml:space="preserve">The Annual Financial Report and the 2022 Data and Usage Information are posted on the corporate website </w:t>
      </w:r>
      <w:hyperlink r:id="rId9" w:history="1">
        <w:r w:rsidRPr="00930CAB">
          <w:rPr>
            <w:rStyle w:val="-"/>
          </w:rPr>
          <w:t>www.eydap.gr</w:t>
        </w:r>
      </w:hyperlink>
      <w:r>
        <w:t xml:space="preserve">  </w:t>
      </w:r>
    </w:p>
    <w:p w:rsidR="0088677B" w:rsidRDefault="0088677B" w:rsidP="00C97A40"/>
    <w:p w:rsidR="00C97A40" w:rsidRDefault="0088677B" w:rsidP="00C97A40">
      <w:r w:rsidRPr="0088677B">
        <w:t xml:space="preserve">* Alternative performance </w:t>
      </w:r>
      <w:r w:rsidR="00811C35">
        <w:t>indicator</w:t>
      </w:r>
      <w:r w:rsidRPr="0088677B">
        <w:t>. See Alternative Performance Indicators section in the 2021 annual financial report posted on the corporate website www.eydap.gr. The financial figures mentioned in the announcement refer to the Company unless otherwise stated</w:t>
      </w:r>
    </w:p>
    <w:p w:rsidR="00C97A40" w:rsidRDefault="00C97A40" w:rsidP="00C97A40"/>
    <w:p w:rsidR="00C97A40" w:rsidRDefault="00C97A40" w:rsidP="00C97A40"/>
    <w:p w:rsidR="00C97A40" w:rsidRDefault="00C97A40" w:rsidP="00C97A40"/>
    <w:p w:rsidR="00C97A40" w:rsidRDefault="00C97A40" w:rsidP="00C97A40"/>
    <w:p w:rsidR="00C97A40" w:rsidRDefault="00C97A40" w:rsidP="00C97A40"/>
    <w:p w:rsidR="00C97A40" w:rsidRDefault="00C97A40" w:rsidP="00C97A40"/>
    <w:p w:rsidR="00C97A40" w:rsidRDefault="00C97A40" w:rsidP="00C97A40"/>
    <w:p w:rsidR="00C97A40" w:rsidRDefault="00C97A40" w:rsidP="00C97A40"/>
    <w:p w:rsidR="002B3E31" w:rsidRDefault="002B3E31" w:rsidP="00C97A40"/>
    <w:sectPr w:rsidR="002B3E31" w:rsidSect="00D1247A">
      <w:headerReference w:type="even" r:id="rId10"/>
      <w:headerReference w:type="default" r:id="rId11"/>
      <w:footerReference w:type="even" r:id="rId12"/>
      <w:footerReference w:type="default" r:id="rId13"/>
      <w:headerReference w:type="first" r:id="rId14"/>
      <w:footerReference w:type="first" r:id="rId15"/>
      <w:pgSz w:w="11906" w:h="16838" w:code="9"/>
      <w:pgMar w:top="851" w:right="1474" w:bottom="737" w:left="1474" w:header="72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625" w:rsidRDefault="00C53625">
      <w:r>
        <w:separator/>
      </w:r>
    </w:p>
  </w:endnote>
  <w:endnote w:type="continuationSeparator" w:id="0">
    <w:p w:rsidR="00C53625" w:rsidRDefault="00C5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UB-Calligula">
    <w:altName w:val="Calibri"/>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00004FF" w:usb2="00000000" w:usb3="00000000" w:csb0="0000019F" w:csb1="00000000"/>
  </w:font>
  <w:font w:name="Open Sans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25" w:rsidRDefault="006F2025">
    <w:pPr>
      <w:pStyle w:val="a5"/>
      <w:framePr w:wrap="around" w:vAnchor="text" w:hAnchor="margin" w:xAlign="inside" w:y="1"/>
      <w:rPr>
        <w:rStyle w:val="a6"/>
      </w:rPr>
    </w:pPr>
    <w:r>
      <w:rPr>
        <w:rStyle w:val="a6"/>
      </w:rPr>
      <w:fldChar w:fldCharType="begin"/>
    </w:r>
    <w:r>
      <w:rPr>
        <w:rStyle w:val="a6"/>
      </w:rPr>
      <w:instrText xml:space="preserve">PAGE  </w:instrText>
    </w:r>
    <w:r>
      <w:rPr>
        <w:rStyle w:val="a6"/>
      </w:rPr>
      <w:fldChar w:fldCharType="end"/>
    </w:r>
  </w:p>
  <w:p w:rsidR="006F2025" w:rsidRDefault="006F202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25" w:rsidRDefault="006F2025">
    <w:pPr>
      <w:pStyle w:val="a5"/>
      <w:framePr w:wrap="around" w:vAnchor="text" w:hAnchor="margin" w:xAlign="inside" w:y="1"/>
      <w:rPr>
        <w:rStyle w:val="a6"/>
        <w:rFonts w:ascii="Tahoma" w:hAnsi="Tahoma" w:cs="Tahoma"/>
        <w:b/>
        <w:bCs/>
      </w:rPr>
    </w:pPr>
  </w:p>
  <w:p w:rsidR="006F2025" w:rsidRDefault="006F2025" w:rsidP="00C97A40">
    <w:pPr>
      <w:pStyle w:val="a5"/>
      <w:ind w:left="-426" w:right="-5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DCE" w:rsidRPr="00C41E34" w:rsidRDefault="00CF5DCE" w:rsidP="00CF5DCE">
    <w:pPr>
      <w:jc w:val="both"/>
      <w:rPr>
        <w:b/>
        <w:color w:val="365F91"/>
        <w:sz w:val="20"/>
        <w:szCs w:val="20"/>
      </w:rPr>
    </w:pPr>
    <w:r w:rsidRPr="00C41E34">
      <w:rPr>
        <w:b/>
        <w:color w:val="365F91"/>
        <w:sz w:val="20"/>
        <w:szCs w:val="20"/>
      </w:rPr>
      <w:t>Service for Shareholders and Corporate Announcements</w:t>
    </w:r>
  </w:p>
  <w:p w:rsidR="00CF5DCE" w:rsidRPr="00C41E34" w:rsidRDefault="00CF5DCE" w:rsidP="00CF5DCE">
    <w:pPr>
      <w:jc w:val="both"/>
      <w:rPr>
        <w:b/>
        <w:color w:val="365F91"/>
        <w:sz w:val="20"/>
        <w:szCs w:val="20"/>
        <w:lang w:val="en-US"/>
      </w:rPr>
    </w:pPr>
    <w:r w:rsidRPr="00C41E34">
      <w:rPr>
        <w:b/>
        <w:color w:val="365F91"/>
        <w:sz w:val="20"/>
        <w:szCs w:val="20"/>
        <w:lang w:val="en-US"/>
      </w:rPr>
      <w:t>eydap-met@eydap.gr</w:t>
    </w:r>
  </w:p>
  <w:p w:rsidR="00CF5DCE" w:rsidRDefault="00CF5DCE">
    <w:pPr>
      <w:pStyle w:val="a5"/>
    </w:pPr>
  </w:p>
  <w:p w:rsidR="006F2025" w:rsidRDefault="006F20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625" w:rsidRDefault="00C53625">
      <w:r>
        <w:separator/>
      </w:r>
    </w:p>
  </w:footnote>
  <w:footnote w:type="continuationSeparator" w:id="0">
    <w:p w:rsidR="00C53625" w:rsidRDefault="00C53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25" w:rsidRDefault="006F202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F2025" w:rsidRDefault="006F202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25" w:rsidRDefault="006F2025">
    <w:pPr>
      <w:pStyle w:val="a7"/>
      <w:framePr w:wrap="around" w:vAnchor="text" w:hAnchor="margin" w:xAlign="right" w:y="1"/>
      <w:rPr>
        <w:rStyle w:val="a6"/>
        <w:rFonts w:ascii="Tahoma" w:hAnsi="Tahoma" w:cs="Tahoma"/>
        <w:b/>
        <w:bCs/>
      </w:rPr>
    </w:pPr>
    <w:r>
      <w:rPr>
        <w:rStyle w:val="a6"/>
        <w:rFonts w:ascii="Tahoma" w:hAnsi="Tahoma" w:cs="Tahoma"/>
        <w:b/>
        <w:bCs/>
      </w:rPr>
      <w:fldChar w:fldCharType="begin"/>
    </w:r>
    <w:r>
      <w:rPr>
        <w:rStyle w:val="a6"/>
        <w:rFonts w:ascii="Tahoma" w:hAnsi="Tahoma" w:cs="Tahoma"/>
        <w:b/>
        <w:bCs/>
      </w:rPr>
      <w:instrText xml:space="preserve">PAGE  </w:instrText>
    </w:r>
    <w:r>
      <w:rPr>
        <w:rStyle w:val="a6"/>
        <w:rFonts w:ascii="Tahoma" w:hAnsi="Tahoma" w:cs="Tahoma"/>
        <w:b/>
        <w:bCs/>
      </w:rPr>
      <w:fldChar w:fldCharType="separate"/>
    </w:r>
    <w:r w:rsidR="006277A4">
      <w:rPr>
        <w:rStyle w:val="a6"/>
        <w:rFonts w:ascii="Tahoma" w:hAnsi="Tahoma" w:cs="Tahoma"/>
        <w:b/>
        <w:bCs/>
        <w:noProof/>
      </w:rPr>
      <w:t>5</w:t>
    </w:r>
    <w:r>
      <w:rPr>
        <w:rStyle w:val="a6"/>
        <w:rFonts w:ascii="Tahoma" w:hAnsi="Tahoma" w:cs="Tahoma"/>
        <w:b/>
        <w:bCs/>
      </w:rPr>
      <w:fldChar w:fldCharType="end"/>
    </w:r>
  </w:p>
  <w:p w:rsidR="006F2025" w:rsidRDefault="006F2025">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78" w:type="dxa"/>
      <w:tblInd w:w="-754" w:type="dxa"/>
      <w:tblLook w:val="01E0" w:firstRow="1" w:lastRow="1" w:firstColumn="1" w:lastColumn="1" w:noHBand="0" w:noVBand="0"/>
    </w:tblPr>
    <w:tblGrid>
      <w:gridCol w:w="5156"/>
      <w:gridCol w:w="222"/>
    </w:tblGrid>
    <w:tr w:rsidR="007A59A0" w:rsidRPr="00B8331B" w:rsidTr="00837739">
      <w:trPr>
        <w:trHeight w:val="1199"/>
      </w:trPr>
      <w:tc>
        <w:tcPr>
          <w:tcW w:w="5156" w:type="dxa"/>
        </w:tcPr>
        <w:p w:rsidR="007A59A0" w:rsidRPr="00B8331B" w:rsidRDefault="00F35736" w:rsidP="00837739">
          <w:pPr>
            <w:pStyle w:val="a7"/>
            <w:tabs>
              <w:tab w:val="center" w:pos="1800"/>
            </w:tabs>
            <w:rPr>
              <w:color w:val="0000FF"/>
            </w:rPr>
          </w:pPr>
          <w:r w:rsidRPr="00974AE4">
            <w:rPr>
              <w:noProof/>
              <w:color w:val="0000FF"/>
              <w:lang w:val="el-GR"/>
            </w:rPr>
            <w:drawing>
              <wp:inline distT="0" distB="0" distL="0" distR="0">
                <wp:extent cx="2583180" cy="662940"/>
                <wp:effectExtent l="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662940"/>
                        </a:xfrm>
                        <a:prstGeom prst="rect">
                          <a:avLst/>
                        </a:prstGeom>
                        <a:noFill/>
                        <a:ln>
                          <a:noFill/>
                        </a:ln>
                      </pic:spPr>
                    </pic:pic>
                  </a:graphicData>
                </a:graphic>
              </wp:inline>
            </w:drawing>
          </w:r>
        </w:p>
      </w:tc>
      <w:tc>
        <w:tcPr>
          <w:tcW w:w="222" w:type="dxa"/>
        </w:tcPr>
        <w:p w:rsidR="007A59A0" w:rsidRPr="00B8331B" w:rsidRDefault="007A59A0" w:rsidP="00837739">
          <w:pPr>
            <w:pStyle w:val="a7"/>
            <w:tabs>
              <w:tab w:val="center" w:pos="1800"/>
            </w:tabs>
            <w:rPr>
              <w:color w:val="0000FF"/>
            </w:rPr>
          </w:pPr>
        </w:p>
      </w:tc>
    </w:tr>
  </w:tbl>
  <w:p w:rsidR="006F2025" w:rsidRPr="00311DC5" w:rsidRDefault="006F2025" w:rsidP="00D1247A">
    <w:pPr>
      <w:pStyle w:val="a7"/>
      <w:tabs>
        <w:tab w:val="center" w:pos="1800"/>
      </w:tabs>
      <w:rPr>
        <w:color w:val="0000FF"/>
      </w:rPr>
    </w:pPr>
  </w:p>
  <w:tbl>
    <w:tblPr>
      <w:tblW w:w="9841" w:type="dxa"/>
      <w:tblLook w:val="01E0" w:firstRow="1" w:lastRow="1" w:firstColumn="1" w:lastColumn="1" w:noHBand="0" w:noVBand="0"/>
    </w:tblPr>
    <w:tblGrid>
      <w:gridCol w:w="3227"/>
      <w:gridCol w:w="6614"/>
    </w:tblGrid>
    <w:tr w:rsidR="006F2025" w:rsidRPr="008847C7" w:rsidTr="008847C7">
      <w:tc>
        <w:tcPr>
          <w:tcW w:w="3227" w:type="dxa"/>
        </w:tcPr>
        <w:p w:rsidR="006F2025" w:rsidRPr="008847C7" w:rsidRDefault="006F2025" w:rsidP="008847C7">
          <w:pPr>
            <w:pStyle w:val="a7"/>
            <w:tabs>
              <w:tab w:val="center" w:pos="1800"/>
            </w:tabs>
            <w:rPr>
              <w:color w:val="0000FF"/>
            </w:rPr>
          </w:pPr>
        </w:p>
      </w:tc>
      <w:tc>
        <w:tcPr>
          <w:tcW w:w="6614" w:type="dxa"/>
        </w:tcPr>
        <w:p w:rsidR="006F2025" w:rsidRPr="008847C7" w:rsidRDefault="006F2025" w:rsidP="008847C7">
          <w:pPr>
            <w:pStyle w:val="a7"/>
            <w:tabs>
              <w:tab w:val="center" w:pos="1800"/>
            </w:tabs>
            <w:rPr>
              <w:color w:val="0000FF"/>
            </w:rPr>
          </w:pPr>
        </w:p>
      </w:tc>
    </w:tr>
  </w:tbl>
  <w:p w:rsidR="006F2025" w:rsidRPr="004C480A" w:rsidRDefault="006F2025" w:rsidP="00D1247A">
    <w:pPr>
      <w:pStyle w:val="a7"/>
      <w:tabs>
        <w:tab w:val="center" w:pos="180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CE4FB1C"/>
    <w:lvl w:ilvl="0">
      <w:start w:val="1"/>
      <w:numFmt w:val="decimal"/>
      <w:pStyle w:val="a"/>
      <w:lvlText w:val="%1."/>
      <w:lvlJc w:val="left"/>
      <w:pPr>
        <w:tabs>
          <w:tab w:val="num" w:pos="360"/>
        </w:tabs>
        <w:ind w:left="360" w:hanging="360"/>
      </w:pPr>
      <w:rPr>
        <w:rFonts w:hint="default"/>
        <w:b/>
      </w:rPr>
    </w:lvl>
  </w:abstractNum>
  <w:abstractNum w:abstractNumId="1" w15:restartNumberingAfterBreak="0">
    <w:nsid w:val="FFFFFF7D"/>
    <w:multiLevelType w:val="singleLevel"/>
    <w:tmpl w:val="54EEBA38"/>
    <w:lvl w:ilvl="0">
      <w:start w:val="1"/>
      <w:numFmt w:val="decimal"/>
      <w:pStyle w:val="2"/>
      <w:lvlText w:val="%1."/>
      <w:lvlJc w:val="left"/>
      <w:pPr>
        <w:tabs>
          <w:tab w:val="num" w:pos="1209"/>
        </w:tabs>
        <w:ind w:left="1209" w:hanging="360"/>
      </w:pPr>
    </w:lvl>
  </w:abstractNum>
  <w:abstractNum w:abstractNumId="2" w15:restartNumberingAfterBreak="0">
    <w:nsid w:val="FFFFFF80"/>
    <w:multiLevelType w:val="singleLevel"/>
    <w:tmpl w:val="79AAF7A8"/>
    <w:lvl w:ilvl="0">
      <w:start w:val="1"/>
      <w:numFmt w:val="bullet"/>
      <w:pStyle w:val="3"/>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88EC474"/>
    <w:lvl w:ilvl="0">
      <w:start w:val="1"/>
      <w:numFmt w:val="bullet"/>
      <w:pStyle w:val="1"/>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EE6C8AC"/>
    <w:lvl w:ilvl="0">
      <w:start w:val="1"/>
      <w:numFmt w:val="bullet"/>
      <w:pStyle w:val="AA2ndleve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10E47A4"/>
    <w:lvl w:ilvl="0">
      <w:start w:val="1"/>
      <w:numFmt w:val="decimal"/>
      <w:pStyle w:val="AANumbering"/>
      <w:lvlText w:val="%1."/>
      <w:lvlJc w:val="left"/>
      <w:pPr>
        <w:tabs>
          <w:tab w:val="num" w:pos="360"/>
        </w:tabs>
        <w:ind w:left="360" w:hanging="360"/>
      </w:pPr>
    </w:lvl>
  </w:abstractNum>
  <w:abstractNum w:abstractNumId="6" w15:restartNumberingAfterBreak="0">
    <w:nsid w:val="079D48B9"/>
    <w:multiLevelType w:val="hybridMultilevel"/>
    <w:tmpl w:val="FA260C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0357E1"/>
    <w:multiLevelType w:val="hybridMultilevel"/>
    <w:tmpl w:val="D61EC6EA"/>
    <w:lvl w:ilvl="0" w:tplc="04080001">
      <w:start w:val="1"/>
      <w:numFmt w:val="bullet"/>
      <w:pStyle w:val="4"/>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3803AAE"/>
    <w:multiLevelType w:val="hybridMultilevel"/>
    <w:tmpl w:val="BEFC8234"/>
    <w:lvl w:ilvl="0" w:tplc="B082EA6E">
      <w:start w:val="1"/>
      <w:numFmt w:val="decimal"/>
      <w:pStyle w:val="a0"/>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4250D57"/>
    <w:multiLevelType w:val="hybridMultilevel"/>
    <w:tmpl w:val="99083DAC"/>
    <w:lvl w:ilvl="0" w:tplc="8D0EE834">
      <w:numFmt w:val="bullet"/>
      <w:lvlText w:val="-"/>
      <w:lvlJc w:val="left"/>
      <w:pPr>
        <w:ind w:left="440" w:hanging="360"/>
      </w:pPr>
      <w:rPr>
        <w:rFonts w:ascii="Verdana" w:eastAsia="Times New Roman" w:hAnsi="Verdana" w:cs="UB-Calligula" w:hint="default"/>
      </w:rPr>
    </w:lvl>
    <w:lvl w:ilvl="1" w:tplc="08090003" w:tentative="1">
      <w:start w:val="1"/>
      <w:numFmt w:val="bullet"/>
      <w:lvlText w:val="o"/>
      <w:lvlJc w:val="left"/>
      <w:pPr>
        <w:ind w:left="1160" w:hanging="360"/>
      </w:pPr>
      <w:rPr>
        <w:rFonts w:ascii="Courier New" w:hAnsi="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0" w15:restartNumberingAfterBreak="0">
    <w:nsid w:val="17AB413F"/>
    <w:multiLevelType w:val="hybridMultilevel"/>
    <w:tmpl w:val="489E31A2"/>
    <w:lvl w:ilvl="0" w:tplc="D1229BA8">
      <w:start w:val="1"/>
      <w:numFmt w:val="bullet"/>
      <w:pStyle w:val="AAFrameAddress"/>
      <w:lvlText w:val=""/>
      <w:lvlJc w:val="left"/>
      <w:pPr>
        <w:tabs>
          <w:tab w:val="num" w:pos="720"/>
        </w:tabs>
        <w:ind w:left="720" w:hanging="360"/>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D4E78"/>
    <w:multiLevelType w:val="hybridMultilevel"/>
    <w:tmpl w:val="33022784"/>
    <w:lvl w:ilvl="0" w:tplc="C8C0FF5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D115535"/>
    <w:multiLevelType w:val="hybridMultilevel"/>
    <w:tmpl w:val="32E871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635412"/>
    <w:multiLevelType w:val="singleLevel"/>
    <w:tmpl w:val="1312047C"/>
    <w:lvl w:ilvl="0">
      <w:start w:val="1"/>
      <w:numFmt w:val="decimal"/>
      <w:pStyle w:val="5"/>
      <w:lvlText w:val="%1."/>
      <w:lvlJc w:val="left"/>
      <w:pPr>
        <w:tabs>
          <w:tab w:val="num" w:pos="283"/>
        </w:tabs>
        <w:ind w:left="283" w:hanging="283"/>
      </w:pPr>
    </w:lvl>
  </w:abstractNum>
  <w:abstractNum w:abstractNumId="14" w15:restartNumberingAfterBreak="0">
    <w:nsid w:val="26C509EA"/>
    <w:multiLevelType w:val="hybridMultilevel"/>
    <w:tmpl w:val="FFC263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20F1D81"/>
    <w:multiLevelType w:val="multilevel"/>
    <w:tmpl w:val="2A98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6E4650"/>
    <w:multiLevelType w:val="multilevel"/>
    <w:tmpl w:val="4672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297125"/>
    <w:multiLevelType w:val="singleLevel"/>
    <w:tmpl w:val="D090A1E6"/>
    <w:lvl w:ilvl="0">
      <w:start w:val="1"/>
      <w:numFmt w:val="bullet"/>
      <w:pStyle w:val="50"/>
      <w:lvlText w:val=""/>
      <w:lvlJc w:val="left"/>
      <w:pPr>
        <w:tabs>
          <w:tab w:val="num" w:pos="283"/>
        </w:tabs>
        <w:ind w:left="283" w:hanging="283"/>
      </w:pPr>
      <w:rPr>
        <w:rFonts w:ascii="Symbol" w:hAnsi="Symbol" w:hint="default"/>
      </w:rPr>
    </w:lvl>
  </w:abstractNum>
  <w:abstractNum w:abstractNumId="18" w15:restartNumberingAfterBreak="0">
    <w:nsid w:val="3F431FB7"/>
    <w:multiLevelType w:val="singleLevel"/>
    <w:tmpl w:val="63843416"/>
    <w:lvl w:ilvl="0">
      <w:start w:val="1"/>
      <w:numFmt w:val="bullet"/>
      <w:pStyle w:val="40"/>
      <w:lvlText w:val=""/>
      <w:lvlJc w:val="left"/>
      <w:pPr>
        <w:tabs>
          <w:tab w:val="num" w:pos="283"/>
        </w:tabs>
        <w:ind w:left="283" w:hanging="283"/>
      </w:pPr>
      <w:rPr>
        <w:rFonts w:ascii="Symbol" w:hAnsi="Symbol" w:hint="default"/>
      </w:rPr>
    </w:lvl>
  </w:abstractNum>
  <w:abstractNum w:abstractNumId="19" w15:restartNumberingAfterBreak="0">
    <w:nsid w:val="49A16A56"/>
    <w:multiLevelType w:val="hybridMultilevel"/>
    <w:tmpl w:val="4386D8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35640"/>
    <w:multiLevelType w:val="hybridMultilevel"/>
    <w:tmpl w:val="EFCE7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08C402F"/>
    <w:multiLevelType w:val="hybridMultilevel"/>
    <w:tmpl w:val="B1F0EC40"/>
    <w:lvl w:ilvl="0" w:tplc="A1945B94">
      <w:start w:val="1"/>
      <w:numFmt w:val="decimal"/>
      <w:pStyle w:val="10"/>
      <w:lvlText w:val="%1."/>
      <w:lvlJc w:val="left"/>
      <w:pPr>
        <w:ind w:left="360" w:hanging="360"/>
      </w:pPr>
      <w:rPr>
        <w:rFonts w:hint="default"/>
        <w:b/>
        <w:i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0450666"/>
    <w:multiLevelType w:val="multilevel"/>
    <w:tmpl w:val="6050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2D17BD"/>
    <w:multiLevelType w:val="multilevel"/>
    <w:tmpl w:val="A0ECF7F6"/>
    <w:lvl w:ilvl="0">
      <w:start w:val="1"/>
      <w:numFmt w:val="decimal"/>
      <w:pStyle w:val="Style1"/>
      <w:lvlText w:val="%1."/>
      <w:lvlJc w:val="left"/>
      <w:pPr>
        <w:ind w:left="360" w:hanging="360"/>
      </w:pPr>
      <w:rPr>
        <w:b/>
      </w:rPr>
    </w:lvl>
    <w:lvl w:ilvl="1">
      <w:start w:val="2"/>
      <w:numFmt w:val="decimal"/>
      <w:isLgl/>
      <w:lvlText w:val="%1.%2"/>
      <w:lvlJc w:val="left"/>
      <w:pPr>
        <w:ind w:left="502" w:hanging="360"/>
      </w:pPr>
      <w:rPr>
        <w:sz w:val="24"/>
        <w:szCs w:val="24"/>
      </w:rPr>
    </w:lvl>
    <w:lvl w:ilvl="2">
      <w:start w:val="1"/>
      <w:numFmt w:val="decimal"/>
      <w:isLgl/>
      <w:lvlText w:val="%1.%2.%3"/>
      <w:lvlJc w:val="left"/>
      <w:pPr>
        <w:ind w:left="1004" w:hanging="720"/>
      </w:pPr>
    </w:lvl>
    <w:lvl w:ilvl="3">
      <w:start w:val="1"/>
      <w:numFmt w:val="decimal"/>
      <w:isLgl/>
      <w:lvlText w:val="%1.%2.%3.%4"/>
      <w:lvlJc w:val="left"/>
      <w:pPr>
        <w:ind w:left="1146" w:hanging="720"/>
      </w:pPr>
    </w:lvl>
    <w:lvl w:ilvl="4">
      <w:start w:val="1"/>
      <w:numFmt w:val="decimal"/>
      <w:isLgl/>
      <w:lvlText w:val="%1.%2.%3.%4.%5"/>
      <w:lvlJc w:val="left"/>
      <w:pPr>
        <w:ind w:left="1648" w:hanging="1080"/>
      </w:pPr>
    </w:lvl>
    <w:lvl w:ilvl="5">
      <w:start w:val="1"/>
      <w:numFmt w:val="decimal"/>
      <w:isLgl/>
      <w:lvlText w:val="%1.%2.%3.%4.%5.%6"/>
      <w:lvlJc w:val="left"/>
      <w:pPr>
        <w:ind w:left="1790" w:hanging="1080"/>
      </w:pPr>
    </w:lvl>
    <w:lvl w:ilvl="6">
      <w:start w:val="1"/>
      <w:numFmt w:val="decimal"/>
      <w:isLgl/>
      <w:lvlText w:val="%1.%2.%3.%4.%5.%6.%7"/>
      <w:lvlJc w:val="left"/>
      <w:pPr>
        <w:ind w:left="2292" w:hanging="1440"/>
      </w:pPr>
    </w:lvl>
    <w:lvl w:ilvl="7">
      <w:start w:val="1"/>
      <w:numFmt w:val="decimal"/>
      <w:isLgl/>
      <w:lvlText w:val="%1.%2.%3.%4.%5.%6.%7.%8"/>
      <w:lvlJc w:val="left"/>
      <w:pPr>
        <w:ind w:left="2434" w:hanging="1440"/>
      </w:pPr>
    </w:lvl>
    <w:lvl w:ilvl="8">
      <w:start w:val="1"/>
      <w:numFmt w:val="decimal"/>
      <w:isLgl/>
      <w:lvlText w:val="%1.%2.%3.%4.%5.%6.%7.%8.%9"/>
      <w:lvlJc w:val="left"/>
      <w:pPr>
        <w:ind w:left="2936" w:hanging="1800"/>
      </w:pPr>
    </w:lvl>
  </w:abstractNum>
  <w:abstractNum w:abstractNumId="24" w15:restartNumberingAfterBreak="0">
    <w:nsid w:val="707051AD"/>
    <w:multiLevelType w:val="hybridMultilevel"/>
    <w:tmpl w:val="9D5A112E"/>
    <w:lvl w:ilvl="0" w:tplc="E730B816">
      <w:start w:val="1"/>
      <w:numFmt w:val="decimal"/>
      <w:pStyle w:val="3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1399E"/>
    <w:multiLevelType w:val="hybridMultilevel"/>
    <w:tmpl w:val="4D2618CE"/>
    <w:lvl w:ilvl="0" w:tplc="4D52959A">
      <w:start w:val="1"/>
      <w:numFmt w:val="decimal"/>
      <w:pStyle w:val="20"/>
      <w:lvlText w:val="%1."/>
      <w:lvlJc w:val="left"/>
      <w:pPr>
        <w:ind w:left="360" w:hanging="360"/>
      </w:pPr>
      <w:rPr>
        <w:rFonts w:ascii="Arial" w:hAnsi="Arial" w:hint="default"/>
        <w:b/>
        <w:i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2976C22"/>
    <w:multiLevelType w:val="multilevel"/>
    <w:tmpl w:val="653E5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BE3115"/>
    <w:multiLevelType w:val="multilevel"/>
    <w:tmpl w:val="7B0017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D6D8D"/>
    <w:multiLevelType w:val="multilevel"/>
    <w:tmpl w:val="18ACF8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2"/>
  </w:num>
  <w:num w:numId="4">
    <w:abstractNumId w:val="6"/>
  </w:num>
  <w:num w:numId="5">
    <w:abstractNumId w:val="14"/>
  </w:num>
  <w:num w:numId="6">
    <w:abstractNumId w:val="7"/>
  </w:num>
  <w:num w:numId="7">
    <w:abstractNumId w:val="8"/>
  </w:num>
  <w:num w:numId="8">
    <w:abstractNumId w:val="25"/>
  </w:num>
  <w:num w:numId="9">
    <w:abstractNumId w:val="10"/>
  </w:num>
  <w:num w:numId="10">
    <w:abstractNumId w:val="3"/>
  </w:num>
  <w:num w:numId="11">
    <w:abstractNumId w:val="4"/>
  </w:num>
  <w:num w:numId="12">
    <w:abstractNumId w:val="5"/>
  </w:num>
  <w:num w:numId="13">
    <w:abstractNumId w:val="0"/>
  </w:num>
  <w:num w:numId="14">
    <w:abstractNumId w:val="1"/>
  </w:num>
  <w:num w:numId="15">
    <w:abstractNumId w:val="2"/>
  </w:num>
  <w:num w:numId="16">
    <w:abstractNumId w:val="17"/>
  </w:num>
  <w:num w:numId="17">
    <w:abstractNumId w:val="18"/>
  </w:num>
  <w:num w:numId="18">
    <w:abstractNumId w:val="13"/>
  </w:num>
  <w:num w:numId="19">
    <w:abstractNumId w:val="21"/>
  </w:num>
  <w:num w:numId="20">
    <w:abstractNumId w:val="24"/>
  </w:num>
  <w:num w:numId="21">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1"/>
  </w:num>
  <w:num w:numId="24">
    <w:abstractNumId w:val="26"/>
  </w:num>
  <w:num w:numId="25">
    <w:abstractNumId w:val="28"/>
  </w:num>
  <w:num w:numId="26">
    <w:abstractNumId w:val="27"/>
  </w:num>
  <w:num w:numId="27">
    <w:abstractNumId w:val="9"/>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wNzO1MDY1MrUwMjRQ0lEKTi0uzszPAykwrgUAfMGUKiwAAAA="/>
  </w:docVars>
  <w:rsids>
    <w:rsidRoot w:val="004D6DAA"/>
    <w:rsid w:val="00000674"/>
    <w:rsid w:val="00003A1E"/>
    <w:rsid w:val="00007E6B"/>
    <w:rsid w:val="000115B1"/>
    <w:rsid w:val="00015306"/>
    <w:rsid w:val="000168AD"/>
    <w:rsid w:val="00021D23"/>
    <w:rsid w:val="0003073C"/>
    <w:rsid w:val="00042020"/>
    <w:rsid w:val="0005399C"/>
    <w:rsid w:val="000555BC"/>
    <w:rsid w:val="0005717C"/>
    <w:rsid w:val="000637EC"/>
    <w:rsid w:val="000664A3"/>
    <w:rsid w:val="00070308"/>
    <w:rsid w:val="00075FF0"/>
    <w:rsid w:val="00083E57"/>
    <w:rsid w:val="00085A74"/>
    <w:rsid w:val="000937C2"/>
    <w:rsid w:val="000957B9"/>
    <w:rsid w:val="000A6DB0"/>
    <w:rsid w:val="000B2042"/>
    <w:rsid w:val="000B3A65"/>
    <w:rsid w:val="000B6E87"/>
    <w:rsid w:val="000F1653"/>
    <w:rsid w:val="0010173C"/>
    <w:rsid w:val="00114BC0"/>
    <w:rsid w:val="00115368"/>
    <w:rsid w:val="001157BD"/>
    <w:rsid w:val="00117510"/>
    <w:rsid w:val="00120076"/>
    <w:rsid w:val="001257E5"/>
    <w:rsid w:val="00126301"/>
    <w:rsid w:val="00132FD8"/>
    <w:rsid w:val="0015100B"/>
    <w:rsid w:val="001539ED"/>
    <w:rsid w:val="00154ABA"/>
    <w:rsid w:val="0016108F"/>
    <w:rsid w:val="001650D8"/>
    <w:rsid w:val="00173D70"/>
    <w:rsid w:val="0017571E"/>
    <w:rsid w:val="0019033B"/>
    <w:rsid w:val="00190B19"/>
    <w:rsid w:val="001A02DF"/>
    <w:rsid w:val="001C0463"/>
    <w:rsid w:val="001C5383"/>
    <w:rsid w:val="001D2574"/>
    <w:rsid w:val="001E4837"/>
    <w:rsid w:val="001F139F"/>
    <w:rsid w:val="001F2745"/>
    <w:rsid w:val="001F780F"/>
    <w:rsid w:val="00216920"/>
    <w:rsid w:val="002352F6"/>
    <w:rsid w:val="0023688A"/>
    <w:rsid w:val="002455CB"/>
    <w:rsid w:val="00245874"/>
    <w:rsid w:val="00247605"/>
    <w:rsid w:val="00247784"/>
    <w:rsid w:val="00247C28"/>
    <w:rsid w:val="00253B31"/>
    <w:rsid w:val="002723EA"/>
    <w:rsid w:val="00277120"/>
    <w:rsid w:val="002912EB"/>
    <w:rsid w:val="002A1AFE"/>
    <w:rsid w:val="002A4AE8"/>
    <w:rsid w:val="002A785F"/>
    <w:rsid w:val="002B3E31"/>
    <w:rsid w:val="002B6315"/>
    <w:rsid w:val="002C6C37"/>
    <w:rsid w:val="002D2CBC"/>
    <w:rsid w:val="002D3B53"/>
    <w:rsid w:val="002E09D9"/>
    <w:rsid w:val="002E1A65"/>
    <w:rsid w:val="002E3A4E"/>
    <w:rsid w:val="00311FC7"/>
    <w:rsid w:val="0031581B"/>
    <w:rsid w:val="00320997"/>
    <w:rsid w:val="0032647B"/>
    <w:rsid w:val="003302AD"/>
    <w:rsid w:val="0033696F"/>
    <w:rsid w:val="003376EB"/>
    <w:rsid w:val="00355FCF"/>
    <w:rsid w:val="00361006"/>
    <w:rsid w:val="00362609"/>
    <w:rsid w:val="003D5F9E"/>
    <w:rsid w:val="003E05B6"/>
    <w:rsid w:val="003F64B6"/>
    <w:rsid w:val="003F7A44"/>
    <w:rsid w:val="00402B26"/>
    <w:rsid w:val="004043DD"/>
    <w:rsid w:val="00406D90"/>
    <w:rsid w:val="004234F7"/>
    <w:rsid w:val="00437FB1"/>
    <w:rsid w:val="004463D0"/>
    <w:rsid w:val="00460EA8"/>
    <w:rsid w:val="0046504E"/>
    <w:rsid w:val="00465BE0"/>
    <w:rsid w:val="00465F15"/>
    <w:rsid w:val="00473A94"/>
    <w:rsid w:val="004B3AE8"/>
    <w:rsid w:val="004C4D5C"/>
    <w:rsid w:val="004C7F25"/>
    <w:rsid w:val="004D6DAA"/>
    <w:rsid w:val="004D731B"/>
    <w:rsid w:val="004E074F"/>
    <w:rsid w:val="004E4DED"/>
    <w:rsid w:val="0050079A"/>
    <w:rsid w:val="00520444"/>
    <w:rsid w:val="00561F95"/>
    <w:rsid w:val="00564236"/>
    <w:rsid w:val="005676B9"/>
    <w:rsid w:val="00567E0F"/>
    <w:rsid w:val="005809A1"/>
    <w:rsid w:val="005913F7"/>
    <w:rsid w:val="005944B5"/>
    <w:rsid w:val="005A3BB4"/>
    <w:rsid w:val="005A4A7F"/>
    <w:rsid w:val="005A71CB"/>
    <w:rsid w:val="005C1CF0"/>
    <w:rsid w:val="005C2A59"/>
    <w:rsid w:val="005C38D4"/>
    <w:rsid w:val="005D6808"/>
    <w:rsid w:val="005E60F1"/>
    <w:rsid w:val="005E7DE4"/>
    <w:rsid w:val="005F098E"/>
    <w:rsid w:val="005F0F9C"/>
    <w:rsid w:val="005F49BF"/>
    <w:rsid w:val="00601D43"/>
    <w:rsid w:val="00604A07"/>
    <w:rsid w:val="00612210"/>
    <w:rsid w:val="00614AB0"/>
    <w:rsid w:val="0062735D"/>
    <w:rsid w:val="006277A4"/>
    <w:rsid w:val="0063210D"/>
    <w:rsid w:val="00634961"/>
    <w:rsid w:val="006459AF"/>
    <w:rsid w:val="00657AB3"/>
    <w:rsid w:val="006679C5"/>
    <w:rsid w:val="0067007E"/>
    <w:rsid w:val="00673FD4"/>
    <w:rsid w:val="00674236"/>
    <w:rsid w:val="00674AB4"/>
    <w:rsid w:val="00687703"/>
    <w:rsid w:val="006A5157"/>
    <w:rsid w:val="006A544C"/>
    <w:rsid w:val="006B1B16"/>
    <w:rsid w:val="006C6338"/>
    <w:rsid w:val="006C72C6"/>
    <w:rsid w:val="006D762A"/>
    <w:rsid w:val="006F2025"/>
    <w:rsid w:val="006F550A"/>
    <w:rsid w:val="006F6953"/>
    <w:rsid w:val="007164DF"/>
    <w:rsid w:val="00716B3D"/>
    <w:rsid w:val="0074437A"/>
    <w:rsid w:val="00744CD5"/>
    <w:rsid w:val="007459A8"/>
    <w:rsid w:val="0076115E"/>
    <w:rsid w:val="00766127"/>
    <w:rsid w:val="0077415C"/>
    <w:rsid w:val="00783BF1"/>
    <w:rsid w:val="0078548B"/>
    <w:rsid w:val="007A14C2"/>
    <w:rsid w:val="007A59A0"/>
    <w:rsid w:val="007A6FFD"/>
    <w:rsid w:val="007A7E81"/>
    <w:rsid w:val="007C2765"/>
    <w:rsid w:val="007C4713"/>
    <w:rsid w:val="007C6575"/>
    <w:rsid w:val="007D73EA"/>
    <w:rsid w:val="007E0881"/>
    <w:rsid w:val="007E0FAB"/>
    <w:rsid w:val="007E3C6E"/>
    <w:rsid w:val="007E4E99"/>
    <w:rsid w:val="007E69FD"/>
    <w:rsid w:val="007F05ED"/>
    <w:rsid w:val="00811C35"/>
    <w:rsid w:val="00822504"/>
    <w:rsid w:val="008235EF"/>
    <w:rsid w:val="008306FC"/>
    <w:rsid w:val="008370C3"/>
    <w:rsid w:val="00837739"/>
    <w:rsid w:val="0084625E"/>
    <w:rsid w:val="00850FC8"/>
    <w:rsid w:val="008536A7"/>
    <w:rsid w:val="00856179"/>
    <w:rsid w:val="008847C7"/>
    <w:rsid w:val="0088677B"/>
    <w:rsid w:val="008A23F8"/>
    <w:rsid w:val="008A2D71"/>
    <w:rsid w:val="008A5F09"/>
    <w:rsid w:val="008A782E"/>
    <w:rsid w:val="008B2BB3"/>
    <w:rsid w:val="008C52E8"/>
    <w:rsid w:val="008C75D6"/>
    <w:rsid w:val="008D64F2"/>
    <w:rsid w:val="008E0112"/>
    <w:rsid w:val="008F3292"/>
    <w:rsid w:val="00904EB0"/>
    <w:rsid w:val="00907566"/>
    <w:rsid w:val="00911D6F"/>
    <w:rsid w:val="0091241B"/>
    <w:rsid w:val="00922587"/>
    <w:rsid w:val="0093689E"/>
    <w:rsid w:val="009421CE"/>
    <w:rsid w:val="00945961"/>
    <w:rsid w:val="00952CE4"/>
    <w:rsid w:val="009675E0"/>
    <w:rsid w:val="00976281"/>
    <w:rsid w:val="009860A0"/>
    <w:rsid w:val="0099056C"/>
    <w:rsid w:val="00995AC7"/>
    <w:rsid w:val="009A3DE5"/>
    <w:rsid w:val="009C07C8"/>
    <w:rsid w:val="009E1CEE"/>
    <w:rsid w:val="009F0F54"/>
    <w:rsid w:val="00A04C73"/>
    <w:rsid w:val="00A11AD7"/>
    <w:rsid w:val="00A20F0E"/>
    <w:rsid w:val="00A37B45"/>
    <w:rsid w:val="00A44D68"/>
    <w:rsid w:val="00A51282"/>
    <w:rsid w:val="00A571B7"/>
    <w:rsid w:val="00A60D75"/>
    <w:rsid w:val="00A77D48"/>
    <w:rsid w:val="00A815CE"/>
    <w:rsid w:val="00A84984"/>
    <w:rsid w:val="00A93310"/>
    <w:rsid w:val="00AA0F48"/>
    <w:rsid w:val="00AA7C8A"/>
    <w:rsid w:val="00AB086D"/>
    <w:rsid w:val="00AB4772"/>
    <w:rsid w:val="00AB632A"/>
    <w:rsid w:val="00AB770D"/>
    <w:rsid w:val="00AB77D8"/>
    <w:rsid w:val="00AB7B5B"/>
    <w:rsid w:val="00AC1E02"/>
    <w:rsid w:val="00AC58D3"/>
    <w:rsid w:val="00AE21DF"/>
    <w:rsid w:val="00AE7BDE"/>
    <w:rsid w:val="00B0096B"/>
    <w:rsid w:val="00B05FB1"/>
    <w:rsid w:val="00B1395B"/>
    <w:rsid w:val="00B13F83"/>
    <w:rsid w:val="00B31328"/>
    <w:rsid w:val="00B42FFC"/>
    <w:rsid w:val="00B431B5"/>
    <w:rsid w:val="00B44AD8"/>
    <w:rsid w:val="00B5232C"/>
    <w:rsid w:val="00B5504C"/>
    <w:rsid w:val="00B56E74"/>
    <w:rsid w:val="00B64148"/>
    <w:rsid w:val="00B6724C"/>
    <w:rsid w:val="00B70409"/>
    <w:rsid w:val="00B723CF"/>
    <w:rsid w:val="00B764B9"/>
    <w:rsid w:val="00B815A5"/>
    <w:rsid w:val="00B860CE"/>
    <w:rsid w:val="00B93E67"/>
    <w:rsid w:val="00B947BF"/>
    <w:rsid w:val="00B957FE"/>
    <w:rsid w:val="00BB291D"/>
    <w:rsid w:val="00BC0261"/>
    <w:rsid w:val="00BC3368"/>
    <w:rsid w:val="00BC736E"/>
    <w:rsid w:val="00BE352B"/>
    <w:rsid w:val="00BE4CCF"/>
    <w:rsid w:val="00BF18AB"/>
    <w:rsid w:val="00BF2AC2"/>
    <w:rsid w:val="00C15B0A"/>
    <w:rsid w:val="00C414D6"/>
    <w:rsid w:val="00C41E34"/>
    <w:rsid w:val="00C46EE6"/>
    <w:rsid w:val="00C534CD"/>
    <w:rsid w:val="00C53625"/>
    <w:rsid w:val="00C53FB8"/>
    <w:rsid w:val="00C60F37"/>
    <w:rsid w:val="00C62C5E"/>
    <w:rsid w:val="00C6741A"/>
    <w:rsid w:val="00C74569"/>
    <w:rsid w:val="00C831E2"/>
    <w:rsid w:val="00C87CF0"/>
    <w:rsid w:val="00C97A40"/>
    <w:rsid w:val="00CA6574"/>
    <w:rsid w:val="00CA70B0"/>
    <w:rsid w:val="00CB506E"/>
    <w:rsid w:val="00CC2A27"/>
    <w:rsid w:val="00CE3217"/>
    <w:rsid w:val="00CF2922"/>
    <w:rsid w:val="00CF5DCE"/>
    <w:rsid w:val="00D0271B"/>
    <w:rsid w:val="00D10967"/>
    <w:rsid w:val="00D1247A"/>
    <w:rsid w:val="00D13DEF"/>
    <w:rsid w:val="00D15F6F"/>
    <w:rsid w:val="00D16068"/>
    <w:rsid w:val="00D22592"/>
    <w:rsid w:val="00D22BD0"/>
    <w:rsid w:val="00D23663"/>
    <w:rsid w:val="00D25976"/>
    <w:rsid w:val="00D33358"/>
    <w:rsid w:val="00D3795E"/>
    <w:rsid w:val="00D45432"/>
    <w:rsid w:val="00D46D53"/>
    <w:rsid w:val="00D508AA"/>
    <w:rsid w:val="00D61E09"/>
    <w:rsid w:val="00D72D16"/>
    <w:rsid w:val="00D83A98"/>
    <w:rsid w:val="00D9148C"/>
    <w:rsid w:val="00D92649"/>
    <w:rsid w:val="00D9315B"/>
    <w:rsid w:val="00D94A46"/>
    <w:rsid w:val="00DA5E45"/>
    <w:rsid w:val="00DB389D"/>
    <w:rsid w:val="00DB5808"/>
    <w:rsid w:val="00DC06F4"/>
    <w:rsid w:val="00DC09CB"/>
    <w:rsid w:val="00DC0E4C"/>
    <w:rsid w:val="00DC1F02"/>
    <w:rsid w:val="00DD2E44"/>
    <w:rsid w:val="00DF2126"/>
    <w:rsid w:val="00E203E2"/>
    <w:rsid w:val="00E30F1A"/>
    <w:rsid w:val="00E433B1"/>
    <w:rsid w:val="00E43EFB"/>
    <w:rsid w:val="00E509A7"/>
    <w:rsid w:val="00E566F7"/>
    <w:rsid w:val="00E571B9"/>
    <w:rsid w:val="00E6421D"/>
    <w:rsid w:val="00E65535"/>
    <w:rsid w:val="00E71210"/>
    <w:rsid w:val="00E72A53"/>
    <w:rsid w:val="00EA08BD"/>
    <w:rsid w:val="00EA2B96"/>
    <w:rsid w:val="00EB6468"/>
    <w:rsid w:val="00ED633F"/>
    <w:rsid w:val="00F01017"/>
    <w:rsid w:val="00F01061"/>
    <w:rsid w:val="00F0531A"/>
    <w:rsid w:val="00F078DB"/>
    <w:rsid w:val="00F35736"/>
    <w:rsid w:val="00F45F08"/>
    <w:rsid w:val="00F5485A"/>
    <w:rsid w:val="00F5659F"/>
    <w:rsid w:val="00F6174A"/>
    <w:rsid w:val="00F6527C"/>
    <w:rsid w:val="00F74FBA"/>
    <w:rsid w:val="00F75AE9"/>
    <w:rsid w:val="00F76E27"/>
    <w:rsid w:val="00F86104"/>
    <w:rsid w:val="00F86A5F"/>
    <w:rsid w:val="00F96554"/>
    <w:rsid w:val="00FA0F5A"/>
    <w:rsid w:val="00FA655F"/>
    <w:rsid w:val="00FA78B1"/>
    <w:rsid w:val="00FB55A4"/>
    <w:rsid w:val="00FC0637"/>
    <w:rsid w:val="00FE5E3D"/>
    <w:rsid w:val="00FE77EC"/>
    <w:rsid w:val="00FF5C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B7E433-CA0D-4CC5-9F9B-0DD0C001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uiPriority="11"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A655F"/>
    <w:rPr>
      <w:rFonts w:ascii="Verdana" w:hAnsi="Verdana" w:cs="UB-Calligula"/>
      <w:color w:val="000000"/>
      <w:sz w:val="16"/>
      <w:szCs w:val="16"/>
    </w:rPr>
  </w:style>
  <w:style w:type="paragraph" w:styleId="10">
    <w:name w:val="heading 1"/>
    <w:basedOn w:val="a1"/>
    <w:next w:val="a1"/>
    <w:link w:val="1Char"/>
    <w:qFormat/>
    <w:rsid w:val="00C97A40"/>
    <w:pPr>
      <w:numPr>
        <w:numId w:val="19"/>
      </w:numPr>
      <w:pBdr>
        <w:top w:val="single" w:sz="24" w:space="0" w:color="4F81BD"/>
        <w:left w:val="single" w:sz="24" w:space="0" w:color="4F81BD"/>
        <w:bottom w:val="single" w:sz="24" w:space="0" w:color="4F81BD"/>
        <w:right w:val="single" w:sz="24" w:space="0" w:color="4F81BD"/>
      </w:pBdr>
      <w:shd w:val="clear" w:color="auto" w:fill="4F81BD"/>
      <w:spacing w:line="276" w:lineRule="auto"/>
      <w:jc w:val="both"/>
      <w:outlineLvl w:val="0"/>
    </w:pPr>
    <w:rPr>
      <w:rFonts w:ascii="Calibri" w:hAnsi="Calibri" w:cs="Times New Roman"/>
      <w:b/>
      <w:bCs/>
      <w:caps/>
      <w:color w:val="FFFFFF"/>
      <w:spacing w:val="15"/>
      <w:sz w:val="22"/>
      <w:szCs w:val="22"/>
    </w:rPr>
  </w:style>
  <w:style w:type="paragraph" w:styleId="21">
    <w:name w:val="heading 2"/>
    <w:basedOn w:val="a1"/>
    <w:next w:val="a1"/>
    <w:link w:val="2Char"/>
    <w:autoRedefine/>
    <w:qFormat/>
    <w:rsid w:val="00C97A40"/>
    <w:pPr>
      <w:pBdr>
        <w:top w:val="single" w:sz="24" w:space="0" w:color="DBE5F1"/>
        <w:left w:val="single" w:sz="24" w:space="0" w:color="DBE5F1"/>
        <w:bottom w:val="single" w:sz="24" w:space="0" w:color="DBE5F1"/>
        <w:right w:val="single" w:sz="24" w:space="0" w:color="DBE5F1"/>
      </w:pBdr>
      <w:shd w:val="clear" w:color="auto" w:fill="DBE5F1"/>
      <w:spacing w:line="276" w:lineRule="auto"/>
      <w:jc w:val="both"/>
      <w:outlineLvl w:val="1"/>
    </w:pPr>
    <w:rPr>
      <w:rFonts w:ascii="Calibri" w:hAnsi="Calibri" w:cs="Times New Roman"/>
      <w:b/>
      <w:smallCaps/>
      <w:color w:val="auto"/>
      <w:sz w:val="22"/>
      <w:szCs w:val="22"/>
    </w:rPr>
  </w:style>
  <w:style w:type="paragraph" w:styleId="30">
    <w:name w:val="heading 3"/>
    <w:basedOn w:val="a1"/>
    <w:next w:val="a1"/>
    <w:link w:val="3Char"/>
    <w:qFormat/>
    <w:rsid w:val="00C97A40"/>
    <w:pPr>
      <w:numPr>
        <w:numId w:val="20"/>
      </w:numPr>
      <w:pBdr>
        <w:bottom w:val="single" w:sz="6" w:space="1" w:color="4F81BD"/>
      </w:pBdr>
      <w:spacing w:before="300" w:line="276" w:lineRule="auto"/>
      <w:jc w:val="both"/>
      <w:outlineLvl w:val="2"/>
    </w:pPr>
    <w:rPr>
      <w:rFonts w:ascii="Calibri" w:hAnsi="Calibri" w:cs="Times New Roman"/>
      <w:b/>
      <w:caps/>
      <w:color w:val="243F60"/>
      <w:sz w:val="22"/>
      <w:szCs w:val="22"/>
    </w:rPr>
  </w:style>
  <w:style w:type="paragraph" w:styleId="41">
    <w:name w:val="heading 4"/>
    <w:basedOn w:val="a1"/>
    <w:next w:val="a1"/>
    <w:link w:val="4Char"/>
    <w:qFormat/>
    <w:rsid w:val="00C97A40"/>
    <w:pPr>
      <w:spacing w:before="300" w:line="276" w:lineRule="auto"/>
      <w:jc w:val="both"/>
      <w:outlineLvl w:val="3"/>
    </w:pPr>
    <w:rPr>
      <w:rFonts w:ascii="Calibri" w:hAnsi="Calibri" w:cs="Times New Roman"/>
      <w:b/>
      <w:caps/>
      <w:color w:val="365F91"/>
      <w:sz w:val="20"/>
      <w:szCs w:val="22"/>
    </w:rPr>
  </w:style>
  <w:style w:type="paragraph" w:styleId="51">
    <w:name w:val="heading 5"/>
    <w:basedOn w:val="a1"/>
    <w:next w:val="a1"/>
    <w:link w:val="5Char"/>
    <w:qFormat/>
    <w:rsid w:val="00C97A40"/>
    <w:pPr>
      <w:pBdr>
        <w:bottom w:val="single" w:sz="6" w:space="1" w:color="4F81BD"/>
      </w:pBdr>
      <w:spacing w:before="300" w:line="276" w:lineRule="auto"/>
      <w:jc w:val="both"/>
      <w:outlineLvl w:val="4"/>
    </w:pPr>
    <w:rPr>
      <w:rFonts w:ascii="Calibri" w:hAnsi="Calibri" w:cs="Times New Roman"/>
      <w:caps/>
      <w:color w:val="365F91"/>
      <w:spacing w:val="10"/>
      <w:sz w:val="22"/>
      <w:szCs w:val="22"/>
    </w:rPr>
  </w:style>
  <w:style w:type="paragraph" w:styleId="6">
    <w:name w:val="heading 6"/>
    <w:basedOn w:val="a1"/>
    <w:next w:val="a1"/>
    <w:link w:val="6Char"/>
    <w:qFormat/>
    <w:rsid w:val="00C97A40"/>
    <w:pPr>
      <w:pBdr>
        <w:bottom w:val="dotted" w:sz="6" w:space="1" w:color="4F81BD"/>
      </w:pBdr>
      <w:spacing w:before="300" w:line="276" w:lineRule="auto"/>
      <w:jc w:val="both"/>
      <w:outlineLvl w:val="5"/>
    </w:pPr>
    <w:rPr>
      <w:rFonts w:ascii="Calibri" w:hAnsi="Calibri" w:cs="Times New Roman"/>
      <w:caps/>
      <w:color w:val="365F91"/>
      <w:spacing w:val="10"/>
      <w:sz w:val="22"/>
      <w:szCs w:val="22"/>
    </w:rPr>
  </w:style>
  <w:style w:type="paragraph" w:styleId="7">
    <w:name w:val="heading 7"/>
    <w:basedOn w:val="a1"/>
    <w:next w:val="a1"/>
    <w:link w:val="7Char"/>
    <w:qFormat/>
    <w:rsid w:val="00C97A40"/>
    <w:pPr>
      <w:spacing w:before="300" w:line="276" w:lineRule="auto"/>
      <w:jc w:val="both"/>
      <w:outlineLvl w:val="6"/>
    </w:pPr>
    <w:rPr>
      <w:rFonts w:ascii="Calibri" w:hAnsi="Calibri" w:cs="Times New Roman"/>
      <w:caps/>
      <w:color w:val="365F91"/>
      <w:spacing w:val="10"/>
      <w:sz w:val="22"/>
      <w:szCs w:val="22"/>
    </w:rPr>
  </w:style>
  <w:style w:type="paragraph" w:styleId="8">
    <w:name w:val="heading 8"/>
    <w:basedOn w:val="a1"/>
    <w:next w:val="a1"/>
    <w:link w:val="8Char"/>
    <w:qFormat/>
    <w:rsid w:val="00C97A40"/>
    <w:pPr>
      <w:spacing w:before="300" w:line="276" w:lineRule="auto"/>
      <w:jc w:val="both"/>
      <w:outlineLvl w:val="7"/>
    </w:pPr>
    <w:rPr>
      <w:rFonts w:ascii="Calibri" w:hAnsi="Calibri" w:cs="Times New Roman"/>
      <w:caps/>
      <w:color w:val="auto"/>
      <w:spacing w:val="10"/>
      <w:sz w:val="18"/>
      <w:szCs w:val="18"/>
    </w:rPr>
  </w:style>
  <w:style w:type="paragraph" w:styleId="9">
    <w:name w:val="heading 9"/>
    <w:basedOn w:val="a1"/>
    <w:next w:val="a1"/>
    <w:link w:val="9Char"/>
    <w:qFormat/>
    <w:rsid w:val="00C97A40"/>
    <w:pPr>
      <w:spacing w:before="300" w:line="276" w:lineRule="auto"/>
      <w:jc w:val="both"/>
      <w:outlineLvl w:val="8"/>
    </w:pPr>
    <w:rPr>
      <w:rFonts w:ascii="Calibri" w:hAnsi="Calibri" w:cs="Times New Roman"/>
      <w:i/>
      <w:caps/>
      <w:color w:val="auto"/>
      <w:spacing w:val="1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uiPriority w:val="99"/>
    <w:rsid w:val="00CA6574"/>
    <w:pPr>
      <w:tabs>
        <w:tab w:val="center" w:pos="4153"/>
        <w:tab w:val="right" w:pos="8306"/>
      </w:tabs>
      <w:spacing w:line="360" w:lineRule="auto"/>
      <w:jc w:val="both"/>
    </w:pPr>
    <w:rPr>
      <w:rFonts w:ascii="Arial" w:hAnsi="Arial"/>
      <w:szCs w:val="20"/>
    </w:rPr>
  </w:style>
  <w:style w:type="character" w:styleId="a6">
    <w:name w:val="page number"/>
    <w:basedOn w:val="a2"/>
    <w:rsid w:val="00CA6574"/>
  </w:style>
  <w:style w:type="paragraph" w:styleId="a7">
    <w:name w:val="header"/>
    <w:basedOn w:val="a1"/>
    <w:link w:val="Char0"/>
    <w:rsid w:val="00CA6574"/>
    <w:pPr>
      <w:tabs>
        <w:tab w:val="center" w:pos="4153"/>
        <w:tab w:val="right" w:pos="8306"/>
      </w:tabs>
      <w:spacing w:line="360" w:lineRule="auto"/>
      <w:jc w:val="both"/>
    </w:pPr>
    <w:rPr>
      <w:rFonts w:ascii="Arial" w:hAnsi="Arial"/>
      <w:szCs w:val="20"/>
    </w:rPr>
  </w:style>
  <w:style w:type="paragraph" w:styleId="a8">
    <w:name w:val="Body Text"/>
    <w:basedOn w:val="a1"/>
    <w:link w:val="Char1"/>
    <w:rsid w:val="00CA6574"/>
    <w:rPr>
      <w:szCs w:val="20"/>
    </w:rPr>
  </w:style>
  <w:style w:type="table" w:styleId="a9">
    <w:name w:val="Table Grid"/>
    <w:basedOn w:val="a3"/>
    <w:rsid w:val="00CA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Char2"/>
    <w:rsid w:val="0093689E"/>
    <w:rPr>
      <w:rFonts w:ascii="Tahoma" w:hAnsi="Tahoma" w:cs="Tahoma"/>
    </w:rPr>
  </w:style>
  <w:style w:type="character" w:customStyle="1" w:styleId="Char2">
    <w:name w:val="Κείμενο πλαισίου Char"/>
    <w:link w:val="aa"/>
    <w:rsid w:val="0093689E"/>
    <w:rPr>
      <w:rFonts w:ascii="Tahoma" w:hAnsi="Tahoma" w:cs="Tahoma"/>
      <w:color w:val="000000"/>
      <w:sz w:val="16"/>
      <w:szCs w:val="16"/>
    </w:rPr>
  </w:style>
  <w:style w:type="character" w:customStyle="1" w:styleId="Char0">
    <w:name w:val="Κεφαλίδα Char"/>
    <w:link w:val="a7"/>
    <w:rsid w:val="007A59A0"/>
    <w:rPr>
      <w:rFonts w:ascii="Arial" w:hAnsi="Arial" w:cs="UB-Calligula"/>
      <w:color w:val="000000"/>
      <w:sz w:val="16"/>
      <w:lang w:val="en" w:eastAsia="el-GR"/>
    </w:rPr>
  </w:style>
  <w:style w:type="character" w:styleId="-">
    <w:name w:val="Hyperlink"/>
    <w:uiPriority w:val="99"/>
    <w:rsid w:val="007A14C2"/>
    <w:rPr>
      <w:color w:val="0563C1"/>
      <w:u w:val="single"/>
    </w:rPr>
  </w:style>
  <w:style w:type="character" w:customStyle="1" w:styleId="Char">
    <w:name w:val="Υποσέλιδο Char"/>
    <w:link w:val="a5"/>
    <w:uiPriority w:val="99"/>
    <w:rsid w:val="00B723CF"/>
    <w:rPr>
      <w:rFonts w:ascii="Arial" w:hAnsi="Arial" w:cs="UB-Calligula"/>
      <w:color w:val="000000"/>
      <w:sz w:val="16"/>
    </w:rPr>
  </w:style>
  <w:style w:type="character" w:customStyle="1" w:styleId="1Char">
    <w:name w:val="Επικεφαλίδα 1 Char"/>
    <w:link w:val="10"/>
    <w:rsid w:val="00C97A40"/>
    <w:rPr>
      <w:rFonts w:ascii="Calibri" w:hAnsi="Calibri"/>
      <w:b/>
      <w:bCs/>
      <w:caps/>
      <w:color w:val="FFFFFF"/>
      <w:spacing w:val="15"/>
      <w:sz w:val="22"/>
      <w:szCs w:val="22"/>
      <w:shd w:val="clear" w:color="auto" w:fill="4F81BD"/>
    </w:rPr>
  </w:style>
  <w:style w:type="character" w:customStyle="1" w:styleId="2Char">
    <w:name w:val="Επικεφαλίδα 2 Char"/>
    <w:link w:val="21"/>
    <w:rsid w:val="00C97A40"/>
    <w:rPr>
      <w:rFonts w:ascii="Calibri" w:hAnsi="Calibri"/>
      <w:b/>
      <w:smallCaps/>
      <w:sz w:val="22"/>
      <w:szCs w:val="22"/>
      <w:shd w:val="clear" w:color="auto" w:fill="DBE5F1"/>
    </w:rPr>
  </w:style>
  <w:style w:type="character" w:customStyle="1" w:styleId="3Char">
    <w:name w:val="Επικεφαλίδα 3 Char"/>
    <w:link w:val="30"/>
    <w:rsid w:val="00C97A40"/>
    <w:rPr>
      <w:rFonts w:ascii="Calibri" w:hAnsi="Calibri"/>
      <w:b/>
      <w:caps/>
      <w:color w:val="243F60"/>
      <w:sz w:val="22"/>
      <w:szCs w:val="22"/>
    </w:rPr>
  </w:style>
  <w:style w:type="character" w:customStyle="1" w:styleId="4Char">
    <w:name w:val="Επικεφαλίδα 4 Char"/>
    <w:link w:val="41"/>
    <w:rsid w:val="00C97A40"/>
    <w:rPr>
      <w:rFonts w:ascii="Calibri" w:hAnsi="Calibri"/>
      <w:b/>
      <w:caps/>
      <w:color w:val="365F91"/>
      <w:szCs w:val="22"/>
    </w:rPr>
  </w:style>
  <w:style w:type="character" w:customStyle="1" w:styleId="5Char">
    <w:name w:val="Επικεφαλίδα 5 Char"/>
    <w:link w:val="51"/>
    <w:rsid w:val="00C97A40"/>
    <w:rPr>
      <w:rFonts w:ascii="Calibri" w:hAnsi="Calibri"/>
      <w:caps/>
      <w:color w:val="365F91"/>
      <w:spacing w:val="10"/>
      <w:sz w:val="22"/>
      <w:szCs w:val="22"/>
    </w:rPr>
  </w:style>
  <w:style w:type="character" w:customStyle="1" w:styleId="6Char">
    <w:name w:val="Επικεφαλίδα 6 Char"/>
    <w:link w:val="6"/>
    <w:rsid w:val="00C97A40"/>
    <w:rPr>
      <w:rFonts w:ascii="Calibri" w:hAnsi="Calibri"/>
      <w:caps/>
      <w:color w:val="365F91"/>
      <w:spacing w:val="10"/>
      <w:sz w:val="22"/>
      <w:szCs w:val="22"/>
    </w:rPr>
  </w:style>
  <w:style w:type="character" w:customStyle="1" w:styleId="7Char">
    <w:name w:val="Επικεφαλίδα 7 Char"/>
    <w:link w:val="7"/>
    <w:rsid w:val="00C97A40"/>
    <w:rPr>
      <w:rFonts w:ascii="Calibri" w:hAnsi="Calibri"/>
      <w:caps/>
      <w:color w:val="365F91"/>
      <w:spacing w:val="10"/>
      <w:sz w:val="22"/>
      <w:szCs w:val="22"/>
    </w:rPr>
  </w:style>
  <w:style w:type="character" w:customStyle="1" w:styleId="8Char">
    <w:name w:val="Επικεφαλίδα 8 Char"/>
    <w:link w:val="8"/>
    <w:rsid w:val="00C97A40"/>
    <w:rPr>
      <w:rFonts w:ascii="Calibri" w:hAnsi="Calibri"/>
      <w:caps/>
      <w:spacing w:val="10"/>
      <w:sz w:val="18"/>
      <w:szCs w:val="18"/>
    </w:rPr>
  </w:style>
  <w:style w:type="character" w:customStyle="1" w:styleId="9Char">
    <w:name w:val="Επικεφαλίδα 9 Char"/>
    <w:link w:val="9"/>
    <w:rsid w:val="00C97A40"/>
    <w:rPr>
      <w:rFonts w:ascii="Calibri" w:hAnsi="Calibri"/>
      <w:i/>
      <w:caps/>
      <w:spacing w:val="10"/>
      <w:sz w:val="18"/>
      <w:szCs w:val="18"/>
    </w:rPr>
  </w:style>
  <w:style w:type="paragraph" w:styleId="ab">
    <w:name w:val="List Paragraph"/>
    <w:basedOn w:val="a1"/>
    <w:link w:val="Char3"/>
    <w:uiPriority w:val="34"/>
    <w:qFormat/>
    <w:rsid w:val="00C97A40"/>
    <w:pPr>
      <w:spacing w:after="160" w:line="259" w:lineRule="auto"/>
      <w:ind w:left="720"/>
      <w:contextualSpacing/>
    </w:pPr>
    <w:rPr>
      <w:rFonts w:ascii="Calibri" w:eastAsia="Calibri" w:hAnsi="Calibri" w:cs="Times New Roman"/>
      <w:color w:val="auto"/>
      <w:sz w:val="22"/>
      <w:szCs w:val="22"/>
      <w:lang w:eastAsia="en-US"/>
    </w:rPr>
  </w:style>
  <w:style w:type="numbering" w:customStyle="1" w:styleId="11">
    <w:name w:val="Χωρίς λίστα1"/>
    <w:next w:val="a4"/>
    <w:uiPriority w:val="99"/>
    <w:semiHidden/>
    <w:unhideWhenUsed/>
    <w:rsid w:val="00C97A40"/>
  </w:style>
  <w:style w:type="character" w:customStyle="1" w:styleId="Char4">
    <w:name w:val="Σώμα κειμένου Char"/>
    <w:rsid w:val="00C97A40"/>
  </w:style>
  <w:style w:type="character" w:styleId="ac">
    <w:name w:val="annotation reference"/>
    <w:uiPriority w:val="99"/>
    <w:rsid w:val="00C97A40"/>
    <w:rPr>
      <w:sz w:val="16"/>
      <w:szCs w:val="16"/>
    </w:rPr>
  </w:style>
  <w:style w:type="paragraph" w:styleId="ad">
    <w:name w:val="annotation text"/>
    <w:basedOn w:val="a1"/>
    <w:link w:val="Char5"/>
    <w:rsid w:val="00C97A40"/>
    <w:rPr>
      <w:sz w:val="20"/>
      <w:szCs w:val="20"/>
    </w:rPr>
  </w:style>
  <w:style w:type="character" w:customStyle="1" w:styleId="Char5">
    <w:name w:val="Κείμενο σχολίου Char"/>
    <w:link w:val="ad"/>
    <w:rsid w:val="00C97A40"/>
    <w:rPr>
      <w:rFonts w:ascii="Verdana" w:hAnsi="Verdana" w:cs="UB-Calligula"/>
      <w:color w:val="000000"/>
    </w:rPr>
  </w:style>
  <w:style w:type="paragraph" w:styleId="ae">
    <w:name w:val="annotation subject"/>
    <w:basedOn w:val="ad"/>
    <w:next w:val="ad"/>
    <w:link w:val="Char6"/>
    <w:rsid w:val="00C97A40"/>
    <w:rPr>
      <w:b/>
      <w:bCs/>
    </w:rPr>
  </w:style>
  <w:style w:type="character" w:customStyle="1" w:styleId="Char6">
    <w:name w:val="Θέμα σχολίου Char"/>
    <w:link w:val="ae"/>
    <w:rsid w:val="00C97A40"/>
    <w:rPr>
      <w:rFonts w:ascii="Verdana" w:hAnsi="Verdana" w:cs="UB-Calligula"/>
      <w:b/>
      <w:bCs/>
      <w:color w:val="000000"/>
    </w:rPr>
  </w:style>
  <w:style w:type="numbering" w:customStyle="1" w:styleId="110">
    <w:name w:val="Χωρίς λίστα11"/>
    <w:next w:val="a4"/>
    <w:semiHidden/>
    <w:unhideWhenUsed/>
    <w:rsid w:val="00C97A40"/>
  </w:style>
  <w:style w:type="paragraph" w:styleId="12">
    <w:name w:val="toc 1"/>
    <w:basedOn w:val="a1"/>
    <w:next w:val="a1"/>
    <w:autoRedefine/>
    <w:uiPriority w:val="39"/>
    <w:qFormat/>
    <w:rsid w:val="00C97A40"/>
    <w:pPr>
      <w:tabs>
        <w:tab w:val="left" w:pos="400"/>
        <w:tab w:val="right" w:leader="hyphen" w:pos="10326"/>
      </w:tabs>
      <w:spacing w:before="120" w:after="120" w:line="276" w:lineRule="auto"/>
      <w:jc w:val="both"/>
    </w:pPr>
    <w:rPr>
      <w:rFonts w:ascii="Calibri" w:hAnsi="Calibri" w:cs="Times New Roman"/>
      <w:b/>
      <w:bCs/>
      <w:iCs/>
      <w:caps/>
      <w:noProof/>
      <w:color w:val="1F497D"/>
      <w:sz w:val="20"/>
      <w:szCs w:val="20"/>
    </w:rPr>
  </w:style>
  <w:style w:type="paragraph" w:styleId="22">
    <w:name w:val="toc 2"/>
    <w:basedOn w:val="a1"/>
    <w:next w:val="a1"/>
    <w:autoRedefine/>
    <w:uiPriority w:val="39"/>
    <w:qFormat/>
    <w:rsid w:val="00C97A40"/>
    <w:pPr>
      <w:tabs>
        <w:tab w:val="right" w:leader="hyphen" w:pos="10326"/>
      </w:tabs>
      <w:spacing w:line="276" w:lineRule="auto"/>
      <w:ind w:left="426"/>
      <w:jc w:val="both"/>
    </w:pPr>
    <w:rPr>
      <w:rFonts w:ascii="Calibri" w:hAnsi="Calibri" w:cs="Times New Roman"/>
      <w:iCs/>
      <w:caps/>
      <w:color w:val="1F497D"/>
      <w:sz w:val="20"/>
      <w:szCs w:val="20"/>
    </w:rPr>
  </w:style>
  <w:style w:type="paragraph" w:styleId="31">
    <w:name w:val="toc 3"/>
    <w:basedOn w:val="a1"/>
    <w:next w:val="a1"/>
    <w:autoRedefine/>
    <w:uiPriority w:val="39"/>
    <w:qFormat/>
    <w:rsid w:val="00C97A40"/>
    <w:pPr>
      <w:tabs>
        <w:tab w:val="left" w:pos="1000"/>
        <w:tab w:val="right" w:leader="hyphen" w:pos="10490"/>
      </w:tabs>
      <w:spacing w:line="276" w:lineRule="auto"/>
      <w:ind w:left="284"/>
      <w:jc w:val="both"/>
    </w:pPr>
    <w:rPr>
      <w:rFonts w:ascii="Calibri" w:hAnsi="Calibri" w:cs="Times New Roman"/>
      <w:caps/>
      <w:color w:val="auto"/>
      <w:sz w:val="20"/>
      <w:szCs w:val="20"/>
    </w:rPr>
  </w:style>
  <w:style w:type="paragraph" w:customStyle="1" w:styleId="23">
    <w:name w:val="Παράγραφος λίστας2"/>
    <w:basedOn w:val="a1"/>
    <w:uiPriority w:val="34"/>
    <w:qFormat/>
    <w:rsid w:val="00C97A40"/>
    <w:pPr>
      <w:spacing w:line="276" w:lineRule="auto"/>
      <w:ind w:left="720"/>
      <w:contextualSpacing/>
      <w:jc w:val="both"/>
    </w:pPr>
    <w:rPr>
      <w:rFonts w:ascii="Calibri" w:hAnsi="Calibri" w:cs="Times New Roman"/>
      <w:color w:val="auto"/>
      <w:sz w:val="20"/>
      <w:szCs w:val="20"/>
    </w:rPr>
  </w:style>
  <w:style w:type="paragraph" w:customStyle="1" w:styleId="13">
    <w:name w:val="Επικεφαλίδα ΠΠ1"/>
    <w:basedOn w:val="10"/>
    <w:next w:val="a1"/>
    <w:uiPriority w:val="39"/>
    <w:qFormat/>
    <w:rsid w:val="00C97A40"/>
    <w:pPr>
      <w:outlineLvl w:val="9"/>
    </w:pPr>
    <w:rPr>
      <w:lang w:bidi="en-US"/>
    </w:rPr>
  </w:style>
  <w:style w:type="table" w:customStyle="1" w:styleId="14">
    <w:name w:val="Πλέγμα πίνακα1"/>
    <w:basedOn w:val="a3"/>
    <w:next w:val="a9"/>
    <w:rsid w:val="00C97A40"/>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97A40"/>
  </w:style>
  <w:style w:type="character" w:customStyle="1" w:styleId="Heading1Char1">
    <w:name w:val="Heading 1 Char1"/>
    <w:rsid w:val="00C97A40"/>
    <w:rPr>
      <w:rFonts w:ascii="Arial" w:hAnsi="Arial"/>
      <w:b/>
      <w:sz w:val="24"/>
      <w:lang w:val="en" w:eastAsia="en-US" w:bidi="ar-SA"/>
    </w:rPr>
  </w:style>
  <w:style w:type="character" w:customStyle="1" w:styleId="BodyTextChar">
    <w:name w:val="Body Text Char"/>
    <w:rsid w:val="00C97A40"/>
    <w:rPr>
      <w:sz w:val="24"/>
      <w:szCs w:val="24"/>
      <w:lang w:val="en" w:eastAsia="el-GR"/>
    </w:rPr>
  </w:style>
  <w:style w:type="paragraph" w:customStyle="1" w:styleId="1">
    <w:name w:val="Στυλ1"/>
    <w:basedOn w:val="a1"/>
    <w:next w:val="a1"/>
    <w:rsid w:val="00C97A40"/>
    <w:pPr>
      <w:pageBreakBefore/>
      <w:numPr>
        <w:numId w:val="10"/>
      </w:numPr>
      <w:tabs>
        <w:tab w:val="clear" w:pos="1209"/>
        <w:tab w:val="left" w:pos="1134"/>
      </w:tabs>
      <w:spacing w:line="280" w:lineRule="atLeast"/>
      <w:ind w:left="0" w:firstLine="0"/>
      <w:jc w:val="both"/>
    </w:pPr>
    <w:rPr>
      <w:rFonts w:ascii="Arial" w:hAnsi="Arial" w:cs="Times New Roman"/>
      <w:b/>
      <w:color w:val="FF0000"/>
      <w:sz w:val="28"/>
      <w:szCs w:val="20"/>
      <w:lang w:eastAsia="en-US"/>
    </w:rPr>
  </w:style>
  <w:style w:type="character" w:customStyle="1" w:styleId="AAAddress">
    <w:name w:val="AA Address"/>
    <w:rsid w:val="00C97A40"/>
    <w:rPr>
      <w:rFonts w:ascii="Arial" w:hAnsi="Arial"/>
      <w:dstrike w:val="0"/>
      <w:noProof w:val="0"/>
      <w:color w:val="auto"/>
      <w:spacing w:val="0"/>
      <w:w w:val="100"/>
      <w:position w:val="0"/>
      <w:sz w:val="14"/>
      <w:u w:val="none"/>
      <w:vertAlign w:val="baseline"/>
      <w:lang w:val="en"/>
    </w:rPr>
  </w:style>
  <w:style w:type="character" w:customStyle="1" w:styleId="AAReference">
    <w:name w:val="AA Reference"/>
    <w:rsid w:val="00C97A40"/>
    <w:rPr>
      <w:rFonts w:ascii="Arial" w:hAnsi="Arial"/>
      <w:dstrike w:val="0"/>
      <w:noProof w:val="0"/>
      <w:color w:val="auto"/>
      <w:spacing w:val="0"/>
      <w:w w:val="100"/>
      <w:position w:val="0"/>
      <w:sz w:val="14"/>
      <w:vertAlign w:val="baseline"/>
      <w:lang w:val="en"/>
    </w:rPr>
  </w:style>
  <w:style w:type="character" w:customStyle="1" w:styleId="FooterChar">
    <w:name w:val="Footer Char"/>
    <w:uiPriority w:val="99"/>
    <w:rsid w:val="00C97A40"/>
    <w:rPr>
      <w:sz w:val="24"/>
      <w:szCs w:val="24"/>
      <w:lang w:val="en" w:eastAsia="el-GR"/>
    </w:rPr>
  </w:style>
  <w:style w:type="paragraph" w:styleId="a">
    <w:name w:val="List Bullet"/>
    <w:basedOn w:val="a1"/>
    <w:rsid w:val="00C97A40"/>
    <w:pPr>
      <w:numPr>
        <w:numId w:val="13"/>
      </w:numPr>
      <w:tabs>
        <w:tab w:val="clear" w:pos="360"/>
        <w:tab w:val="left" w:pos="284"/>
        <w:tab w:val="left" w:pos="1134"/>
      </w:tabs>
      <w:spacing w:line="280" w:lineRule="atLeast"/>
      <w:ind w:left="284" w:hanging="284"/>
      <w:jc w:val="both"/>
    </w:pPr>
    <w:rPr>
      <w:rFonts w:ascii="Calibri" w:hAnsi="Calibri" w:cs="Times New Roman"/>
      <w:color w:val="auto"/>
      <w:sz w:val="22"/>
      <w:szCs w:val="20"/>
      <w:lang w:eastAsia="en-US"/>
    </w:rPr>
  </w:style>
  <w:style w:type="paragraph" w:styleId="2">
    <w:name w:val="List Bullet 2"/>
    <w:basedOn w:val="a1"/>
    <w:rsid w:val="00C97A40"/>
    <w:pPr>
      <w:numPr>
        <w:numId w:val="14"/>
      </w:numPr>
      <w:tabs>
        <w:tab w:val="clear" w:pos="1209"/>
        <w:tab w:val="left" w:pos="567"/>
        <w:tab w:val="left" w:pos="1134"/>
      </w:tabs>
      <w:spacing w:line="280" w:lineRule="atLeast"/>
      <w:ind w:left="851" w:hanging="284"/>
      <w:jc w:val="both"/>
    </w:pPr>
    <w:rPr>
      <w:rFonts w:ascii="Calibri" w:hAnsi="Calibri" w:cs="Times New Roman"/>
      <w:color w:val="auto"/>
      <w:sz w:val="22"/>
      <w:szCs w:val="20"/>
      <w:lang w:eastAsia="en-US"/>
    </w:rPr>
  </w:style>
  <w:style w:type="paragraph" w:styleId="3">
    <w:name w:val="List Bullet 3"/>
    <w:basedOn w:val="a1"/>
    <w:rsid w:val="00C97A40"/>
    <w:pPr>
      <w:numPr>
        <w:numId w:val="15"/>
      </w:numPr>
      <w:tabs>
        <w:tab w:val="clear" w:pos="1492"/>
        <w:tab w:val="left" w:pos="851"/>
        <w:tab w:val="left" w:pos="1134"/>
      </w:tabs>
      <w:spacing w:line="280" w:lineRule="atLeast"/>
      <w:ind w:left="1135" w:hanging="284"/>
      <w:jc w:val="both"/>
    </w:pPr>
    <w:rPr>
      <w:rFonts w:ascii="Calibri" w:hAnsi="Calibri" w:cs="Times New Roman"/>
      <w:color w:val="auto"/>
      <w:sz w:val="22"/>
      <w:szCs w:val="20"/>
      <w:lang w:eastAsia="en-US"/>
    </w:rPr>
  </w:style>
  <w:style w:type="paragraph" w:styleId="4">
    <w:name w:val="List Bullet 4"/>
    <w:basedOn w:val="a1"/>
    <w:rsid w:val="00C97A40"/>
    <w:pPr>
      <w:numPr>
        <w:numId w:val="6"/>
      </w:numPr>
      <w:tabs>
        <w:tab w:val="left" w:pos="1134"/>
      </w:tabs>
      <w:spacing w:line="280" w:lineRule="atLeast"/>
      <w:ind w:left="1418" w:hanging="284"/>
      <w:jc w:val="both"/>
    </w:pPr>
    <w:rPr>
      <w:rFonts w:ascii="Calibri" w:hAnsi="Calibri" w:cs="Times New Roman"/>
      <w:color w:val="auto"/>
      <w:sz w:val="22"/>
      <w:szCs w:val="20"/>
      <w:lang w:eastAsia="en-US"/>
    </w:rPr>
  </w:style>
  <w:style w:type="paragraph" w:styleId="a0">
    <w:name w:val="List Number"/>
    <w:basedOn w:val="a1"/>
    <w:rsid w:val="00C97A40"/>
    <w:pPr>
      <w:numPr>
        <w:numId w:val="7"/>
      </w:numPr>
      <w:tabs>
        <w:tab w:val="left" w:pos="284"/>
        <w:tab w:val="left" w:pos="1134"/>
      </w:tabs>
      <w:spacing w:line="280" w:lineRule="atLeast"/>
      <w:ind w:left="284" w:hanging="284"/>
      <w:jc w:val="both"/>
    </w:pPr>
    <w:rPr>
      <w:rFonts w:ascii="Calibri" w:hAnsi="Calibri" w:cs="Times New Roman"/>
      <w:color w:val="auto"/>
      <w:sz w:val="22"/>
      <w:szCs w:val="20"/>
      <w:lang w:eastAsia="en-US"/>
    </w:rPr>
  </w:style>
  <w:style w:type="paragraph" w:styleId="20">
    <w:name w:val="List Number 2"/>
    <w:basedOn w:val="a1"/>
    <w:rsid w:val="00C97A40"/>
    <w:pPr>
      <w:numPr>
        <w:numId w:val="8"/>
      </w:numPr>
      <w:tabs>
        <w:tab w:val="left" w:pos="567"/>
        <w:tab w:val="left" w:pos="1134"/>
      </w:tabs>
      <w:spacing w:line="280" w:lineRule="atLeast"/>
      <w:ind w:left="851" w:hanging="284"/>
      <w:jc w:val="both"/>
    </w:pPr>
    <w:rPr>
      <w:rFonts w:ascii="Calibri" w:hAnsi="Calibri" w:cs="Times New Roman"/>
      <w:color w:val="auto"/>
      <w:sz w:val="22"/>
      <w:szCs w:val="20"/>
      <w:lang w:eastAsia="en-US"/>
    </w:rPr>
  </w:style>
  <w:style w:type="paragraph" w:styleId="32">
    <w:name w:val="List Number 3"/>
    <w:basedOn w:val="a1"/>
    <w:rsid w:val="00C97A40"/>
    <w:pPr>
      <w:tabs>
        <w:tab w:val="left" w:pos="851"/>
        <w:tab w:val="left" w:pos="1134"/>
      </w:tabs>
      <w:spacing w:line="280" w:lineRule="atLeast"/>
      <w:ind w:left="1135" w:hanging="284"/>
      <w:jc w:val="both"/>
    </w:pPr>
    <w:rPr>
      <w:rFonts w:ascii="Calibri" w:hAnsi="Calibri" w:cs="Times New Roman"/>
      <w:color w:val="auto"/>
      <w:sz w:val="22"/>
      <w:szCs w:val="20"/>
      <w:lang w:eastAsia="en-US"/>
    </w:rPr>
  </w:style>
  <w:style w:type="paragraph" w:styleId="af">
    <w:name w:val="Normal Indent"/>
    <w:basedOn w:val="a1"/>
    <w:rsid w:val="00C97A40"/>
    <w:pPr>
      <w:tabs>
        <w:tab w:val="left" w:pos="1134"/>
      </w:tabs>
      <w:spacing w:line="280" w:lineRule="atLeast"/>
      <w:ind w:left="284"/>
      <w:jc w:val="both"/>
    </w:pPr>
    <w:rPr>
      <w:rFonts w:ascii="Calibri" w:hAnsi="Calibri" w:cs="Times New Roman"/>
      <w:color w:val="auto"/>
      <w:sz w:val="22"/>
      <w:szCs w:val="20"/>
      <w:lang w:eastAsia="en-US"/>
    </w:rPr>
  </w:style>
  <w:style w:type="paragraph" w:customStyle="1" w:styleId="AAFrameAddress">
    <w:name w:val="AA Frame Address"/>
    <w:basedOn w:val="10"/>
    <w:rsid w:val="00C97A40"/>
    <w:pPr>
      <w:framePr w:w="2812" w:h="1701" w:hSpace="142" w:vSpace="142" w:wrap="around" w:vAnchor="page" w:hAnchor="page" w:x="8024" w:y="2723"/>
      <w:numPr>
        <w:numId w:val="9"/>
      </w:numPr>
      <w:shd w:val="clear" w:color="FFFFFF" w:fill="auto"/>
      <w:tabs>
        <w:tab w:val="left" w:pos="1134"/>
      </w:tabs>
      <w:spacing w:after="90"/>
      <w:ind w:left="0" w:firstLine="0"/>
      <w:jc w:val="left"/>
    </w:pPr>
    <w:rPr>
      <w:bCs w:val="0"/>
      <w:noProof/>
      <w:sz w:val="24"/>
      <w:szCs w:val="20"/>
    </w:rPr>
  </w:style>
  <w:style w:type="paragraph" w:styleId="50">
    <w:name w:val="List Number 5"/>
    <w:basedOn w:val="a1"/>
    <w:rsid w:val="00C97A40"/>
    <w:pPr>
      <w:numPr>
        <w:numId w:val="16"/>
      </w:numPr>
      <w:tabs>
        <w:tab w:val="clear" w:pos="283"/>
        <w:tab w:val="num" w:pos="360"/>
        <w:tab w:val="left" w:pos="1134"/>
        <w:tab w:val="left" w:pos="1418"/>
      </w:tabs>
      <w:spacing w:line="280" w:lineRule="atLeast"/>
      <w:ind w:left="360" w:hanging="360"/>
      <w:jc w:val="both"/>
    </w:pPr>
    <w:rPr>
      <w:rFonts w:ascii="Calibri" w:hAnsi="Calibri" w:cs="Times New Roman"/>
      <w:color w:val="auto"/>
      <w:sz w:val="22"/>
      <w:szCs w:val="20"/>
      <w:lang w:eastAsia="en-US"/>
    </w:rPr>
  </w:style>
  <w:style w:type="paragraph" w:styleId="40">
    <w:name w:val="List Number 4"/>
    <w:basedOn w:val="a1"/>
    <w:rsid w:val="00C97A40"/>
    <w:pPr>
      <w:numPr>
        <w:numId w:val="17"/>
      </w:numPr>
      <w:tabs>
        <w:tab w:val="clear" w:pos="283"/>
        <w:tab w:val="left" w:pos="1134"/>
        <w:tab w:val="left" w:pos="1418"/>
      </w:tabs>
      <w:spacing w:line="280" w:lineRule="atLeast"/>
      <w:ind w:left="1209" w:hanging="360"/>
      <w:jc w:val="both"/>
    </w:pPr>
    <w:rPr>
      <w:rFonts w:ascii="Calibri" w:hAnsi="Calibri" w:cs="Times New Roman"/>
      <w:color w:val="auto"/>
      <w:sz w:val="22"/>
      <w:szCs w:val="20"/>
      <w:lang w:eastAsia="en-US"/>
    </w:rPr>
  </w:style>
  <w:style w:type="paragraph" w:styleId="5">
    <w:name w:val="List Bullet 5"/>
    <w:basedOn w:val="a1"/>
    <w:rsid w:val="00C97A40"/>
    <w:pPr>
      <w:numPr>
        <w:numId w:val="18"/>
      </w:numPr>
      <w:tabs>
        <w:tab w:val="clear" w:pos="283"/>
        <w:tab w:val="num" w:pos="360"/>
        <w:tab w:val="left" w:pos="1134"/>
        <w:tab w:val="left" w:pos="1418"/>
      </w:tabs>
      <w:spacing w:line="280" w:lineRule="atLeast"/>
      <w:ind w:left="1702" w:hanging="284"/>
      <w:jc w:val="both"/>
    </w:pPr>
    <w:rPr>
      <w:rFonts w:ascii="Calibri" w:hAnsi="Calibri" w:cs="Times New Roman"/>
      <w:color w:val="auto"/>
      <w:sz w:val="22"/>
      <w:szCs w:val="20"/>
      <w:lang w:eastAsia="en-US"/>
    </w:rPr>
  </w:style>
  <w:style w:type="paragraph" w:styleId="af0">
    <w:name w:val="Body Text First Indent"/>
    <w:basedOn w:val="a8"/>
    <w:link w:val="Char7"/>
    <w:rsid w:val="00C97A40"/>
    <w:pPr>
      <w:tabs>
        <w:tab w:val="left" w:pos="1134"/>
      </w:tabs>
      <w:spacing w:after="120" w:line="280" w:lineRule="atLeast"/>
      <w:ind w:firstLine="284"/>
      <w:jc w:val="both"/>
    </w:pPr>
    <w:rPr>
      <w:rFonts w:ascii="Calibri" w:hAnsi="Calibri" w:cs="Times New Roman"/>
      <w:color w:val="auto"/>
      <w:sz w:val="22"/>
      <w:lang w:eastAsia="en-US"/>
    </w:rPr>
  </w:style>
  <w:style w:type="character" w:customStyle="1" w:styleId="Char1">
    <w:name w:val="Σώμα κειμένου Char1"/>
    <w:link w:val="a8"/>
    <w:rsid w:val="00C97A40"/>
    <w:rPr>
      <w:rFonts w:ascii="Verdana" w:hAnsi="Verdana" w:cs="UB-Calligula"/>
      <w:color w:val="000000"/>
      <w:sz w:val="16"/>
    </w:rPr>
  </w:style>
  <w:style w:type="character" w:customStyle="1" w:styleId="Char7">
    <w:name w:val="Σώμα κείμενου Πρώτη Εσοχή Char"/>
    <w:link w:val="af0"/>
    <w:rsid w:val="00C97A40"/>
    <w:rPr>
      <w:rFonts w:ascii="Calibri" w:hAnsi="Calibri" w:cs="UB-Calligula"/>
      <w:color w:val="000000"/>
      <w:sz w:val="22"/>
      <w:lang w:val="en" w:eastAsia="en-US"/>
    </w:rPr>
  </w:style>
  <w:style w:type="paragraph" w:styleId="af1">
    <w:name w:val="Body Text Indent"/>
    <w:basedOn w:val="a1"/>
    <w:link w:val="Char8"/>
    <w:rsid w:val="00C97A40"/>
    <w:pPr>
      <w:tabs>
        <w:tab w:val="left" w:pos="1134"/>
      </w:tabs>
      <w:spacing w:after="120" w:line="280" w:lineRule="atLeast"/>
      <w:ind w:left="283"/>
      <w:jc w:val="both"/>
    </w:pPr>
    <w:rPr>
      <w:rFonts w:ascii="Calibri" w:hAnsi="Calibri" w:cs="Times New Roman"/>
      <w:color w:val="auto"/>
      <w:sz w:val="22"/>
      <w:szCs w:val="20"/>
      <w:lang w:eastAsia="en-US"/>
    </w:rPr>
  </w:style>
  <w:style w:type="character" w:customStyle="1" w:styleId="Char8">
    <w:name w:val="Σώμα κείμενου με εσοχή Char"/>
    <w:link w:val="af1"/>
    <w:rsid w:val="00C97A40"/>
    <w:rPr>
      <w:rFonts w:ascii="Calibri" w:hAnsi="Calibri"/>
      <w:sz w:val="22"/>
      <w:lang w:val="en" w:eastAsia="en-US"/>
    </w:rPr>
  </w:style>
  <w:style w:type="paragraph" w:styleId="24">
    <w:name w:val="Body Text First Indent 2"/>
    <w:basedOn w:val="af1"/>
    <w:link w:val="2Char0"/>
    <w:rsid w:val="00C97A40"/>
    <w:pPr>
      <w:ind w:left="284" w:firstLine="284"/>
    </w:pPr>
  </w:style>
  <w:style w:type="character" w:customStyle="1" w:styleId="2Char0">
    <w:name w:val="Σώμα κείμενου Πρώτη Εσοχή 2 Char"/>
    <w:basedOn w:val="Char8"/>
    <w:link w:val="24"/>
    <w:rsid w:val="00C97A40"/>
    <w:rPr>
      <w:rFonts w:ascii="Calibri" w:hAnsi="Calibri"/>
      <w:sz w:val="22"/>
      <w:lang w:val="en" w:eastAsia="en-US"/>
    </w:rPr>
  </w:style>
  <w:style w:type="character" w:styleId="af2">
    <w:name w:val="Strong"/>
    <w:qFormat/>
    <w:rsid w:val="00C97A40"/>
    <w:rPr>
      <w:b/>
      <w:bCs/>
    </w:rPr>
  </w:style>
  <w:style w:type="paragraph" w:customStyle="1" w:styleId="AAFrameLogo">
    <w:name w:val="AA Frame Logo"/>
    <w:basedOn w:val="a1"/>
    <w:rsid w:val="00C97A40"/>
    <w:pPr>
      <w:framePr w:w="4253" w:h="1418" w:hRule="exact" w:hSpace="142" w:vSpace="142" w:wrap="around" w:vAnchor="page" w:hAnchor="page" w:x="7457" w:y="568"/>
      <w:tabs>
        <w:tab w:val="left" w:pos="1134"/>
      </w:tabs>
      <w:spacing w:line="280" w:lineRule="atLeast"/>
      <w:jc w:val="both"/>
    </w:pPr>
    <w:rPr>
      <w:rFonts w:ascii="Calibri" w:hAnsi="Calibri" w:cs="Times New Roman"/>
      <w:color w:val="auto"/>
      <w:sz w:val="22"/>
      <w:szCs w:val="20"/>
      <w:lang w:eastAsia="en-US"/>
    </w:rPr>
  </w:style>
  <w:style w:type="paragraph" w:customStyle="1" w:styleId="AA1stlevelbullet">
    <w:name w:val="AA 1st level bullet"/>
    <w:basedOn w:val="a1"/>
    <w:rsid w:val="00C97A40"/>
    <w:pPr>
      <w:tabs>
        <w:tab w:val="num" w:pos="1209"/>
      </w:tabs>
      <w:spacing w:line="280" w:lineRule="atLeast"/>
      <w:ind w:left="284" w:hanging="284"/>
      <w:jc w:val="both"/>
    </w:pPr>
    <w:rPr>
      <w:rFonts w:ascii="Calibri" w:hAnsi="Calibri" w:cs="Times New Roman"/>
      <w:color w:val="auto"/>
      <w:sz w:val="22"/>
      <w:szCs w:val="20"/>
      <w:lang w:eastAsia="en-US"/>
    </w:rPr>
  </w:style>
  <w:style w:type="paragraph" w:customStyle="1" w:styleId="AA2ndlevelbullet">
    <w:name w:val="AA 2nd level bullet"/>
    <w:basedOn w:val="AA1stlevelbullet"/>
    <w:rsid w:val="00C97A40"/>
    <w:pPr>
      <w:numPr>
        <w:numId w:val="11"/>
      </w:numPr>
      <w:ind w:left="568" w:hanging="284"/>
    </w:pPr>
  </w:style>
  <w:style w:type="paragraph" w:customStyle="1" w:styleId="AANumbering">
    <w:name w:val="AA Numbering"/>
    <w:basedOn w:val="a1"/>
    <w:rsid w:val="00C97A40"/>
    <w:pPr>
      <w:numPr>
        <w:numId w:val="12"/>
      </w:numPr>
      <w:tabs>
        <w:tab w:val="left" w:pos="1134"/>
      </w:tabs>
      <w:spacing w:line="280" w:lineRule="atLeast"/>
      <w:ind w:left="0" w:firstLine="0"/>
      <w:jc w:val="both"/>
    </w:pPr>
    <w:rPr>
      <w:rFonts w:ascii="Calibri" w:hAnsi="Calibri" w:cs="Times New Roman"/>
      <w:color w:val="auto"/>
      <w:sz w:val="22"/>
      <w:szCs w:val="20"/>
      <w:lang w:eastAsia="en-US"/>
    </w:rPr>
  </w:style>
  <w:style w:type="paragraph" w:styleId="af3">
    <w:name w:val="envelope return"/>
    <w:basedOn w:val="a1"/>
    <w:rsid w:val="00C97A40"/>
    <w:pPr>
      <w:tabs>
        <w:tab w:val="left" w:pos="1134"/>
        <w:tab w:val="num" w:pos="1209"/>
      </w:tabs>
      <w:spacing w:line="280" w:lineRule="atLeast"/>
      <w:jc w:val="both"/>
    </w:pPr>
    <w:rPr>
      <w:rFonts w:ascii="Arial" w:hAnsi="Arial" w:cs="Times New Roman"/>
      <w:color w:val="auto"/>
      <w:sz w:val="20"/>
      <w:szCs w:val="20"/>
      <w:lang w:eastAsia="en-US"/>
    </w:rPr>
  </w:style>
  <w:style w:type="paragraph" w:styleId="33">
    <w:name w:val="Body Text 3"/>
    <w:basedOn w:val="a1"/>
    <w:link w:val="3Char0"/>
    <w:rsid w:val="00C97A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1440"/>
      <w:jc w:val="both"/>
    </w:pPr>
    <w:rPr>
      <w:rFonts w:ascii="Book Antiqua" w:hAnsi="Book Antiqua" w:cs="Times New Roman"/>
      <w:noProof/>
      <w:sz w:val="20"/>
      <w:szCs w:val="20"/>
      <w:lang w:eastAsia="en-US"/>
    </w:rPr>
  </w:style>
  <w:style w:type="character" w:customStyle="1" w:styleId="3Char0">
    <w:name w:val="Σώμα κείμενου 3 Char"/>
    <w:link w:val="33"/>
    <w:rsid w:val="00C97A40"/>
    <w:rPr>
      <w:rFonts w:ascii="Book Antiqua" w:hAnsi="Book Antiqua"/>
      <w:noProof/>
      <w:color w:val="000000"/>
      <w:lang w:val="en" w:eastAsia="en-US"/>
    </w:rPr>
  </w:style>
  <w:style w:type="paragraph" w:styleId="34">
    <w:name w:val="Body Text Indent 3"/>
    <w:basedOn w:val="a1"/>
    <w:link w:val="3Char1"/>
    <w:rsid w:val="00C97A40"/>
    <w:pPr>
      <w:spacing w:line="276" w:lineRule="auto"/>
      <w:ind w:left="1137"/>
      <w:jc w:val="both"/>
    </w:pPr>
    <w:rPr>
      <w:rFonts w:ascii="Book Antiqua" w:hAnsi="Book Antiqua" w:cs="Times New Roman"/>
      <w:color w:val="auto"/>
      <w:sz w:val="22"/>
      <w:szCs w:val="20"/>
      <w:lang w:eastAsia="en-US"/>
    </w:rPr>
  </w:style>
  <w:style w:type="character" w:customStyle="1" w:styleId="3Char1">
    <w:name w:val="Σώμα κείμενου με εσοχή 3 Char"/>
    <w:link w:val="34"/>
    <w:rsid w:val="00C97A40"/>
    <w:rPr>
      <w:rFonts w:ascii="Book Antiqua" w:hAnsi="Book Antiqua"/>
      <w:sz w:val="22"/>
      <w:lang w:val="en" w:eastAsia="en-US"/>
    </w:rPr>
  </w:style>
  <w:style w:type="paragraph" w:styleId="25">
    <w:name w:val="Body Text 2"/>
    <w:basedOn w:val="a1"/>
    <w:link w:val="2Char1"/>
    <w:rsid w:val="00C97A40"/>
    <w:pPr>
      <w:spacing w:line="276" w:lineRule="auto"/>
      <w:jc w:val="both"/>
    </w:pPr>
    <w:rPr>
      <w:rFonts w:ascii="Calibri" w:hAnsi="Calibri" w:cs="Times New Roman"/>
      <w:color w:val="auto"/>
      <w:sz w:val="21"/>
      <w:szCs w:val="20"/>
      <w:lang w:eastAsia="en-US"/>
    </w:rPr>
  </w:style>
  <w:style w:type="character" w:customStyle="1" w:styleId="2Char1">
    <w:name w:val="Σώμα κείμενου 2 Char"/>
    <w:link w:val="25"/>
    <w:rsid w:val="00C97A40"/>
    <w:rPr>
      <w:rFonts w:ascii="Calibri" w:hAnsi="Calibri"/>
      <w:sz w:val="21"/>
      <w:lang w:val="en" w:eastAsia="en-US"/>
    </w:rPr>
  </w:style>
  <w:style w:type="paragraph" w:styleId="26">
    <w:name w:val="Body Text Indent 2"/>
    <w:basedOn w:val="a1"/>
    <w:link w:val="2Char2"/>
    <w:rsid w:val="00C97A40"/>
    <w:pPr>
      <w:spacing w:line="276" w:lineRule="auto"/>
      <w:ind w:left="567"/>
      <w:jc w:val="both"/>
    </w:pPr>
    <w:rPr>
      <w:rFonts w:ascii="Book Antiqua" w:hAnsi="Book Antiqua" w:cs="Times New Roman"/>
      <w:color w:val="auto"/>
      <w:sz w:val="22"/>
      <w:szCs w:val="20"/>
      <w:lang w:eastAsia="en-US"/>
    </w:rPr>
  </w:style>
  <w:style w:type="character" w:customStyle="1" w:styleId="2Char2">
    <w:name w:val="Σώμα κείμενου με εσοχή 2 Char"/>
    <w:link w:val="26"/>
    <w:rsid w:val="00C97A40"/>
    <w:rPr>
      <w:rFonts w:ascii="Book Antiqua" w:hAnsi="Book Antiqua"/>
      <w:sz w:val="22"/>
      <w:lang w:val="en" w:eastAsia="en-US"/>
    </w:rPr>
  </w:style>
  <w:style w:type="character" w:customStyle="1" w:styleId="BodyTextIndent2Char">
    <w:name w:val="Body Text Indent 2 Char"/>
    <w:rsid w:val="00C97A40"/>
    <w:rPr>
      <w:sz w:val="24"/>
      <w:szCs w:val="24"/>
      <w:lang w:val="en" w:eastAsia="el-GR"/>
    </w:rPr>
  </w:style>
  <w:style w:type="paragraph" w:customStyle="1" w:styleId="BodyText22">
    <w:name w:val="Body Text 22"/>
    <w:basedOn w:val="a1"/>
    <w:rsid w:val="00C97A40"/>
    <w:pPr>
      <w:spacing w:line="276" w:lineRule="auto"/>
      <w:ind w:left="1134"/>
      <w:jc w:val="both"/>
    </w:pPr>
    <w:rPr>
      <w:rFonts w:ascii="Book Antiqua" w:hAnsi="Book Antiqua" w:cs="Times New Roman"/>
      <w:color w:val="auto"/>
      <w:sz w:val="22"/>
      <w:szCs w:val="20"/>
      <w:lang w:eastAsia="en-US"/>
    </w:rPr>
  </w:style>
  <w:style w:type="paragraph" w:customStyle="1" w:styleId="Retorno">
    <w:name w:val="Retorno"/>
    <w:basedOn w:val="a1"/>
    <w:rsid w:val="00C97A40"/>
    <w:pPr>
      <w:spacing w:line="276" w:lineRule="auto"/>
      <w:jc w:val="both"/>
    </w:pPr>
    <w:rPr>
      <w:rFonts w:ascii="Book Antiqua" w:hAnsi="Book Antiqua" w:cs="Times New Roman"/>
      <w:color w:val="auto"/>
      <w:sz w:val="22"/>
      <w:szCs w:val="20"/>
      <w:lang w:eastAsia="en-US"/>
    </w:rPr>
  </w:style>
  <w:style w:type="paragraph" w:styleId="af4">
    <w:name w:val="Block Text"/>
    <w:basedOn w:val="a1"/>
    <w:rsid w:val="00C97A40"/>
    <w:pPr>
      <w:tabs>
        <w:tab w:val="left" w:pos="1134"/>
        <w:tab w:val="left" w:pos="9360"/>
      </w:tabs>
      <w:spacing w:line="240" w:lineRule="atLeast"/>
      <w:ind w:left="708" w:right="2"/>
      <w:jc w:val="both"/>
    </w:pPr>
    <w:rPr>
      <w:rFonts w:ascii="Calibri" w:hAnsi="Calibri" w:cs="Times New Roman"/>
      <w:snapToGrid w:val="0"/>
      <w:sz w:val="22"/>
      <w:szCs w:val="20"/>
      <w:lang w:eastAsia="en-US"/>
    </w:rPr>
  </w:style>
  <w:style w:type="paragraph" w:customStyle="1" w:styleId="ReferenceLine">
    <w:name w:val="Reference Line"/>
    <w:basedOn w:val="a8"/>
    <w:rsid w:val="00C97A40"/>
    <w:pPr>
      <w:tabs>
        <w:tab w:val="left" w:pos="360"/>
      </w:tabs>
      <w:spacing w:line="240" w:lineRule="exact"/>
      <w:ind w:right="18"/>
      <w:jc w:val="both"/>
    </w:pPr>
    <w:rPr>
      <w:rFonts w:ascii="Book Antiqua" w:hAnsi="Book Antiqua" w:cs="Times New Roman"/>
      <w:color w:val="auto"/>
      <w:sz w:val="22"/>
      <w:lang w:eastAsia="en-US"/>
    </w:rPr>
  </w:style>
  <w:style w:type="paragraph" w:styleId="af5">
    <w:name w:val="Title"/>
    <w:basedOn w:val="a1"/>
    <w:next w:val="a1"/>
    <w:link w:val="Char9"/>
    <w:qFormat/>
    <w:rsid w:val="00C97A40"/>
    <w:pPr>
      <w:spacing w:before="720" w:line="276" w:lineRule="auto"/>
      <w:jc w:val="both"/>
    </w:pPr>
    <w:rPr>
      <w:rFonts w:ascii="Calibri" w:hAnsi="Calibri" w:cs="Times New Roman"/>
      <w:caps/>
      <w:color w:val="4F81BD"/>
      <w:spacing w:val="10"/>
      <w:kern w:val="28"/>
      <w:sz w:val="52"/>
      <w:szCs w:val="52"/>
    </w:rPr>
  </w:style>
  <w:style w:type="character" w:customStyle="1" w:styleId="Char9">
    <w:name w:val="Τίτλος Char"/>
    <w:link w:val="af5"/>
    <w:rsid w:val="00C97A40"/>
    <w:rPr>
      <w:rFonts w:ascii="Calibri" w:hAnsi="Calibri"/>
      <w:caps/>
      <w:color w:val="4F81BD"/>
      <w:spacing w:val="10"/>
      <w:kern w:val="28"/>
      <w:sz w:val="52"/>
      <w:szCs w:val="52"/>
    </w:rPr>
  </w:style>
  <w:style w:type="paragraph" w:styleId="-HTML">
    <w:name w:val="HTML Preformatted"/>
    <w:basedOn w:val="a1"/>
    <w:link w:val="-HTMLChar"/>
    <w:rsid w:val="00C9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Pr>
      <w:rFonts w:eastAsia="Arial Unicode MS" w:cs="Arial Unicode MS"/>
      <w:sz w:val="17"/>
      <w:szCs w:val="17"/>
      <w:lang w:eastAsia="en-US"/>
    </w:rPr>
  </w:style>
  <w:style w:type="character" w:customStyle="1" w:styleId="-HTMLChar">
    <w:name w:val="Προ-διαμορφωμένο HTML Char"/>
    <w:link w:val="-HTML"/>
    <w:rsid w:val="00C97A40"/>
    <w:rPr>
      <w:rFonts w:ascii="Verdana" w:eastAsia="Arial Unicode MS" w:hAnsi="Verdana" w:cs="Arial Unicode MS"/>
      <w:color w:val="000000"/>
      <w:sz w:val="17"/>
      <w:szCs w:val="17"/>
      <w:lang w:val="en" w:eastAsia="en-US"/>
    </w:rPr>
  </w:style>
  <w:style w:type="paragraph" w:customStyle="1" w:styleId="15">
    <w:name w:val="ΤΙΤΛΟΣ 1"/>
    <w:basedOn w:val="a1"/>
    <w:rsid w:val="00C97A40"/>
    <w:pPr>
      <w:spacing w:line="276" w:lineRule="auto"/>
      <w:jc w:val="both"/>
    </w:pPr>
    <w:rPr>
      <w:rFonts w:ascii="Calibri" w:hAnsi="Calibri" w:cs="Times New Roman"/>
      <w:color w:val="auto"/>
      <w:sz w:val="20"/>
      <w:szCs w:val="20"/>
      <w:lang w:eastAsia="en-US"/>
    </w:rPr>
  </w:style>
  <w:style w:type="paragraph" w:styleId="Web">
    <w:name w:val="Normal (Web)"/>
    <w:basedOn w:val="a1"/>
    <w:rsid w:val="00C97A40"/>
    <w:pPr>
      <w:spacing w:before="100" w:beforeAutospacing="1" w:after="100" w:afterAutospacing="1" w:line="276" w:lineRule="auto"/>
      <w:jc w:val="both"/>
    </w:pPr>
    <w:rPr>
      <w:rFonts w:ascii="Calibri" w:hAnsi="Calibri" w:cs="Times New Roman"/>
      <w:color w:val="auto"/>
      <w:sz w:val="20"/>
      <w:szCs w:val="20"/>
    </w:rPr>
  </w:style>
  <w:style w:type="paragraph" w:customStyle="1" w:styleId="Default">
    <w:name w:val="Default"/>
    <w:rsid w:val="00C97A40"/>
    <w:pPr>
      <w:autoSpaceDE w:val="0"/>
      <w:autoSpaceDN w:val="0"/>
      <w:adjustRightInd w:val="0"/>
      <w:spacing w:before="200" w:after="200" w:line="276" w:lineRule="auto"/>
    </w:pPr>
    <w:rPr>
      <w:rFonts w:ascii="Arial" w:eastAsia="Calibri" w:hAnsi="Arial" w:cs="Arial"/>
      <w:color w:val="000000"/>
      <w:sz w:val="24"/>
      <w:szCs w:val="24"/>
    </w:rPr>
  </w:style>
  <w:style w:type="character" w:styleId="-0">
    <w:name w:val="FollowedHyperlink"/>
    <w:rsid w:val="00C97A40"/>
    <w:rPr>
      <w:color w:val="800080"/>
      <w:u w:val="single"/>
    </w:rPr>
  </w:style>
  <w:style w:type="character" w:customStyle="1" w:styleId="longtext1">
    <w:name w:val="long_text1"/>
    <w:rsid w:val="00C97A40"/>
    <w:rPr>
      <w:rFonts w:cs="Times New Roman"/>
      <w:sz w:val="18"/>
      <w:szCs w:val="18"/>
    </w:rPr>
  </w:style>
  <w:style w:type="character" w:customStyle="1" w:styleId="CharCharCharChar1">
    <w:name w:val="Char Char Char Char1"/>
    <w:aliases w:val=" Char Char Char1"/>
    <w:rsid w:val="00C97A40"/>
    <w:rPr>
      <w:sz w:val="24"/>
      <w:szCs w:val="24"/>
      <w:lang w:val="en" w:eastAsia="el-GR" w:bidi="ar-SA"/>
    </w:rPr>
  </w:style>
  <w:style w:type="paragraph" w:customStyle="1" w:styleId="ListParagraph1">
    <w:name w:val="List Paragraph1"/>
    <w:basedOn w:val="a1"/>
    <w:rsid w:val="00C97A40"/>
    <w:pPr>
      <w:spacing w:line="276" w:lineRule="auto"/>
      <w:ind w:left="720"/>
      <w:jc w:val="both"/>
    </w:pPr>
  </w:style>
  <w:style w:type="paragraph" w:styleId="af6">
    <w:name w:val="Document Map"/>
    <w:basedOn w:val="a1"/>
    <w:link w:val="Chara"/>
    <w:rsid w:val="00C97A40"/>
    <w:pPr>
      <w:shd w:val="clear" w:color="auto" w:fill="000080"/>
      <w:spacing w:line="276" w:lineRule="auto"/>
      <w:jc w:val="both"/>
    </w:pPr>
    <w:rPr>
      <w:rFonts w:ascii="Tahoma" w:hAnsi="Tahoma" w:cs="Tahoma"/>
      <w:sz w:val="20"/>
      <w:szCs w:val="20"/>
    </w:rPr>
  </w:style>
  <w:style w:type="character" w:customStyle="1" w:styleId="Chara">
    <w:name w:val="Χάρτης εγγράφου Char"/>
    <w:link w:val="af6"/>
    <w:rsid w:val="00C97A40"/>
    <w:rPr>
      <w:rFonts w:ascii="Tahoma" w:hAnsi="Tahoma" w:cs="Tahoma"/>
      <w:color w:val="000000"/>
      <w:shd w:val="clear" w:color="auto" w:fill="000080"/>
    </w:rPr>
  </w:style>
  <w:style w:type="table" w:styleId="52">
    <w:name w:val="Table Grid 5"/>
    <w:basedOn w:val="a3"/>
    <w:rsid w:val="00C97A40"/>
    <w:rPr>
      <w:rFonts w:ascii="Calibri" w:hAnsi="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35">
    <w:name w:val="Σώμα κειμένου (3)_"/>
    <w:link w:val="36"/>
    <w:locked/>
    <w:rsid w:val="00C97A40"/>
    <w:rPr>
      <w:shd w:val="clear" w:color="auto" w:fill="FFFFFF"/>
    </w:rPr>
  </w:style>
  <w:style w:type="paragraph" w:customStyle="1" w:styleId="36">
    <w:name w:val="Σώμα κειμένου (3)"/>
    <w:basedOn w:val="a1"/>
    <w:link w:val="35"/>
    <w:rsid w:val="00C97A40"/>
    <w:pPr>
      <w:shd w:val="clear" w:color="auto" w:fill="FFFFFF"/>
      <w:spacing w:before="240" w:line="281" w:lineRule="exact"/>
      <w:ind w:hanging="640"/>
      <w:jc w:val="both"/>
    </w:pPr>
    <w:rPr>
      <w:rFonts w:ascii="Times New Roman" w:hAnsi="Times New Roman" w:cs="Times New Roman"/>
      <w:color w:val="auto"/>
      <w:sz w:val="20"/>
      <w:szCs w:val="20"/>
      <w:shd w:val="clear" w:color="auto" w:fill="FFFFFF"/>
    </w:rPr>
  </w:style>
  <w:style w:type="character" w:customStyle="1" w:styleId="42">
    <w:name w:val="Σώμα κειμένου (4)_"/>
    <w:link w:val="410"/>
    <w:locked/>
    <w:rsid w:val="00C97A40"/>
    <w:rPr>
      <w:i/>
      <w:iCs/>
      <w:spacing w:val="10"/>
      <w:sz w:val="25"/>
      <w:szCs w:val="25"/>
      <w:shd w:val="clear" w:color="auto" w:fill="FFFFFF"/>
    </w:rPr>
  </w:style>
  <w:style w:type="paragraph" w:customStyle="1" w:styleId="410">
    <w:name w:val="Σώμα κειμένου (4)1"/>
    <w:basedOn w:val="a1"/>
    <w:link w:val="42"/>
    <w:rsid w:val="00C97A40"/>
    <w:pPr>
      <w:shd w:val="clear" w:color="auto" w:fill="FFFFFF"/>
      <w:spacing w:before="240" w:after="240" w:line="320" w:lineRule="exact"/>
      <w:ind w:hanging="2180"/>
      <w:jc w:val="both"/>
    </w:pPr>
    <w:rPr>
      <w:rFonts w:ascii="Times New Roman" w:hAnsi="Times New Roman" w:cs="Times New Roman"/>
      <w:i/>
      <w:iCs/>
      <w:color w:val="auto"/>
      <w:spacing w:val="10"/>
      <w:sz w:val="25"/>
      <w:szCs w:val="25"/>
      <w:shd w:val="clear" w:color="auto" w:fill="FFFFFF"/>
    </w:rPr>
  </w:style>
  <w:style w:type="paragraph" w:customStyle="1" w:styleId="16">
    <w:name w:val="Παράγραφος λίστας1"/>
    <w:basedOn w:val="a1"/>
    <w:rsid w:val="00C97A40"/>
    <w:pPr>
      <w:spacing w:after="200" w:line="276" w:lineRule="auto"/>
      <w:ind w:left="720"/>
      <w:jc w:val="both"/>
    </w:pPr>
    <w:rPr>
      <w:rFonts w:ascii="Calibri" w:hAnsi="Calibri" w:cs="Times New Roman"/>
      <w:color w:val="auto"/>
      <w:sz w:val="22"/>
      <w:szCs w:val="22"/>
    </w:rPr>
  </w:style>
  <w:style w:type="paragraph" w:styleId="af7">
    <w:name w:val="caption"/>
    <w:basedOn w:val="a1"/>
    <w:next w:val="a1"/>
    <w:uiPriority w:val="35"/>
    <w:qFormat/>
    <w:rsid w:val="00C97A40"/>
    <w:pPr>
      <w:spacing w:line="276" w:lineRule="auto"/>
      <w:jc w:val="both"/>
    </w:pPr>
    <w:rPr>
      <w:rFonts w:ascii="Calibri" w:hAnsi="Calibri" w:cs="Times New Roman"/>
      <w:b/>
      <w:bCs/>
      <w:color w:val="365F91"/>
    </w:rPr>
  </w:style>
  <w:style w:type="paragraph" w:styleId="af8">
    <w:name w:val="Subtitle"/>
    <w:basedOn w:val="a1"/>
    <w:next w:val="a1"/>
    <w:link w:val="Charb"/>
    <w:uiPriority w:val="11"/>
    <w:qFormat/>
    <w:rsid w:val="00C97A40"/>
    <w:pPr>
      <w:spacing w:after="1000"/>
      <w:jc w:val="both"/>
    </w:pPr>
    <w:rPr>
      <w:rFonts w:ascii="Calibri" w:hAnsi="Calibri" w:cs="Times New Roman"/>
      <w:caps/>
      <w:color w:val="595959"/>
      <w:spacing w:val="10"/>
      <w:sz w:val="24"/>
      <w:szCs w:val="24"/>
    </w:rPr>
  </w:style>
  <w:style w:type="character" w:customStyle="1" w:styleId="Charb">
    <w:name w:val="Υπότιτλος Char"/>
    <w:link w:val="af8"/>
    <w:uiPriority w:val="11"/>
    <w:rsid w:val="00C97A40"/>
    <w:rPr>
      <w:rFonts w:ascii="Calibri" w:hAnsi="Calibri"/>
      <w:caps/>
      <w:color w:val="595959"/>
      <w:spacing w:val="10"/>
      <w:sz w:val="24"/>
      <w:szCs w:val="24"/>
    </w:rPr>
  </w:style>
  <w:style w:type="character" w:styleId="af9">
    <w:name w:val="Emphasis"/>
    <w:uiPriority w:val="20"/>
    <w:qFormat/>
    <w:rsid w:val="00C97A40"/>
    <w:rPr>
      <w:caps/>
      <w:color w:val="243F60"/>
      <w:spacing w:val="5"/>
    </w:rPr>
  </w:style>
  <w:style w:type="paragraph" w:customStyle="1" w:styleId="17">
    <w:name w:val="Χωρίς διάστιχο1"/>
    <w:basedOn w:val="a1"/>
    <w:link w:val="Charc"/>
    <w:uiPriority w:val="1"/>
    <w:qFormat/>
    <w:rsid w:val="00C97A40"/>
    <w:pPr>
      <w:jc w:val="both"/>
    </w:pPr>
    <w:rPr>
      <w:rFonts w:ascii="Calibri" w:hAnsi="Calibri" w:cs="Times New Roman"/>
      <w:color w:val="auto"/>
      <w:sz w:val="20"/>
      <w:szCs w:val="20"/>
    </w:rPr>
  </w:style>
  <w:style w:type="paragraph" w:customStyle="1" w:styleId="18">
    <w:name w:val="Απόσπασμα1"/>
    <w:basedOn w:val="a1"/>
    <w:next w:val="a1"/>
    <w:link w:val="Chard"/>
    <w:uiPriority w:val="29"/>
    <w:qFormat/>
    <w:rsid w:val="00C97A40"/>
    <w:pPr>
      <w:spacing w:line="276" w:lineRule="auto"/>
      <w:jc w:val="both"/>
    </w:pPr>
    <w:rPr>
      <w:rFonts w:ascii="Calibri" w:hAnsi="Calibri" w:cs="Times New Roman"/>
      <w:i/>
      <w:iCs/>
      <w:color w:val="auto"/>
      <w:sz w:val="20"/>
      <w:szCs w:val="20"/>
    </w:rPr>
  </w:style>
  <w:style w:type="character" w:customStyle="1" w:styleId="Chard">
    <w:name w:val="Απόσπασμα Char"/>
    <w:link w:val="18"/>
    <w:uiPriority w:val="29"/>
    <w:rsid w:val="00C97A40"/>
    <w:rPr>
      <w:rFonts w:ascii="Calibri" w:hAnsi="Calibri"/>
      <w:i/>
      <w:iCs/>
    </w:rPr>
  </w:style>
  <w:style w:type="paragraph" w:customStyle="1" w:styleId="19">
    <w:name w:val="Έντονο εισαγωγικό1"/>
    <w:basedOn w:val="a1"/>
    <w:next w:val="a1"/>
    <w:link w:val="Chare"/>
    <w:uiPriority w:val="30"/>
    <w:qFormat/>
    <w:rsid w:val="00C97A40"/>
    <w:pPr>
      <w:pBdr>
        <w:top w:val="single" w:sz="4" w:space="10" w:color="4F81BD"/>
        <w:left w:val="single" w:sz="4" w:space="10" w:color="4F81BD"/>
      </w:pBdr>
      <w:spacing w:line="276" w:lineRule="auto"/>
      <w:ind w:left="1296" w:right="1152"/>
      <w:jc w:val="both"/>
    </w:pPr>
    <w:rPr>
      <w:rFonts w:ascii="Calibri" w:hAnsi="Calibri" w:cs="Times New Roman"/>
      <w:i/>
      <w:iCs/>
      <w:color w:val="4F81BD"/>
      <w:sz w:val="20"/>
      <w:szCs w:val="20"/>
    </w:rPr>
  </w:style>
  <w:style w:type="character" w:customStyle="1" w:styleId="Chare">
    <w:name w:val="Έντονο εισαγωγικό Char"/>
    <w:link w:val="19"/>
    <w:uiPriority w:val="30"/>
    <w:rsid w:val="00C97A40"/>
    <w:rPr>
      <w:rFonts w:ascii="Calibri" w:hAnsi="Calibri"/>
      <w:i/>
      <w:iCs/>
      <w:color w:val="4F81BD"/>
    </w:rPr>
  </w:style>
  <w:style w:type="character" w:customStyle="1" w:styleId="1a">
    <w:name w:val="Διακριτική έμφαση1"/>
    <w:uiPriority w:val="19"/>
    <w:qFormat/>
    <w:rsid w:val="00C97A40"/>
    <w:rPr>
      <w:i/>
      <w:iCs/>
      <w:color w:val="243F60"/>
    </w:rPr>
  </w:style>
  <w:style w:type="character" w:customStyle="1" w:styleId="1b">
    <w:name w:val="Έντονη έμφαση1"/>
    <w:uiPriority w:val="21"/>
    <w:qFormat/>
    <w:rsid w:val="00C97A40"/>
    <w:rPr>
      <w:b/>
      <w:bCs/>
      <w:caps/>
      <w:color w:val="243F60"/>
      <w:spacing w:val="10"/>
    </w:rPr>
  </w:style>
  <w:style w:type="character" w:customStyle="1" w:styleId="1c">
    <w:name w:val="Διακριτική αναφορά1"/>
    <w:uiPriority w:val="31"/>
    <w:qFormat/>
    <w:rsid w:val="00C97A40"/>
    <w:rPr>
      <w:b/>
      <w:bCs/>
      <w:color w:val="4F81BD"/>
    </w:rPr>
  </w:style>
  <w:style w:type="character" w:customStyle="1" w:styleId="1d">
    <w:name w:val="Έντονη αναφορά1"/>
    <w:uiPriority w:val="32"/>
    <w:qFormat/>
    <w:rsid w:val="00C97A40"/>
    <w:rPr>
      <w:b/>
      <w:bCs/>
      <w:i/>
      <w:iCs/>
      <w:caps/>
      <w:color w:val="4F81BD"/>
    </w:rPr>
  </w:style>
  <w:style w:type="character" w:customStyle="1" w:styleId="1e">
    <w:name w:val="Τίτλος βιβλίου1"/>
    <w:uiPriority w:val="33"/>
    <w:qFormat/>
    <w:rsid w:val="00C97A40"/>
    <w:rPr>
      <w:b/>
      <w:bCs/>
      <w:i/>
      <w:iCs/>
      <w:spacing w:val="9"/>
    </w:rPr>
  </w:style>
  <w:style w:type="paragraph" w:styleId="43">
    <w:name w:val="toc 4"/>
    <w:basedOn w:val="a1"/>
    <w:next w:val="a1"/>
    <w:autoRedefine/>
    <w:uiPriority w:val="39"/>
    <w:unhideWhenUsed/>
    <w:rsid w:val="00C97A40"/>
    <w:pPr>
      <w:spacing w:line="276" w:lineRule="auto"/>
      <w:ind w:left="600"/>
      <w:jc w:val="both"/>
    </w:pPr>
    <w:rPr>
      <w:rFonts w:ascii="Calibri" w:hAnsi="Calibri" w:cs="Times New Roman"/>
      <w:iCs/>
      <w:color w:val="auto"/>
      <w:sz w:val="18"/>
      <w:szCs w:val="18"/>
    </w:rPr>
  </w:style>
  <w:style w:type="paragraph" w:styleId="53">
    <w:name w:val="toc 5"/>
    <w:basedOn w:val="a1"/>
    <w:next w:val="a1"/>
    <w:autoRedefine/>
    <w:uiPriority w:val="39"/>
    <w:unhideWhenUsed/>
    <w:rsid w:val="00C97A40"/>
    <w:pPr>
      <w:spacing w:line="276" w:lineRule="auto"/>
      <w:ind w:left="800"/>
      <w:jc w:val="both"/>
    </w:pPr>
    <w:rPr>
      <w:rFonts w:ascii="Calibri" w:hAnsi="Calibri" w:cs="Times New Roman"/>
      <w:iCs/>
      <w:color w:val="auto"/>
      <w:sz w:val="18"/>
      <w:szCs w:val="18"/>
    </w:rPr>
  </w:style>
  <w:style w:type="paragraph" w:styleId="60">
    <w:name w:val="toc 6"/>
    <w:basedOn w:val="a1"/>
    <w:next w:val="a1"/>
    <w:autoRedefine/>
    <w:uiPriority w:val="39"/>
    <w:unhideWhenUsed/>
    <w:rsid w:val="00C97A40"/>
    <w:pPr>
      <w:spacing w:line="276" w:lineRule="auto"/>
      <w:ind w:left="1000"/>
      <w:jc w:val="both"/>
    </w:pPr>
    <w:rPr>
      <w:rFonts w:ascii="Calibri" w:hAnsi="Calibri" w:cs="Times New Roman"/>
      <w:iCs/>
      <w:color w:val="auto"/>
      <w:sz w:val="18"/>
      <w:szCs w:val="18"/>
    </w:rPr>
  </w:style>
  <w:style w:type="paragraph" w:styleId="70">
    <w:name w:val="toc 7"/>
    <w:basedOn w:val="a1"/>
    <w:next w:val="a1"/>
    <w:autoRedefine/>
    <w:uiPriority w:val="39"/>
    <w:unhideWhenUsed/>
    <w:rsid w:val="00C97A40"/>
    <w:pPr>
      <w:spacing w:line="276" w:lineRule="auto"/>
      <w:ind w:left="1200"/>
      <w:jc w:val="both"/>
    </w:pPr>
    <w:rPr>
      <w:rFonts w:ascii="Calibri" w:hAnsi="Calibri" w:cs="Times New Roman"/>
      <w:iCs/>
      <w:color w:val="auto"/>
      <w:sz w:val="18"/>
      <w:szCs w:val="18"/>
    </w:rPr>
  </w:style>
  <w:style w:type="paragraph" w:styleId="80">
    <w:name w:val="toc 8"/>
    <w:basedOn w:val="a1"/>
    <w:next w:val="a1"/>
    <w:autoRedefine/>
    <w:uiPriority w:val="39"/>
    <w:unhideWhenUsed/>
    <w:rsid w:val="00C97A40"/>
    <w:pPr>
      <w:spacing w:line="276" w:lineRule="auto"/>
      <w:ind w:left="1400"/>
      <w:jc w:val="both"/>
    </w:pPr>
    <w:rPr>
      <w:rFonts w:ascii="Calibri" w:hAnsi="Calibri" w:cs="Times New Roman"/>
      <w:iCs/>
      <w:color w:val="auto"/>
      <w:sz w:val="18"/>
      <w:szCs w:val="18"/>
    </w:rPr>
  </w:style>
  <w:style w:type="paragraph" w:styleId="90">
    <w:name w:val="toc 9"/>
    <w:basedOn w:val="a1"/>
    <w:next w:val="a1"/>
    <w:autoRedefine/>
    <w:uiPriority w:val="39"/>
    <w:unhideWhenUsed/>
    <w:rsid w:val="00C97A40"/>
    <w:pPr>
      <w:spacing w:line="276" w:lineRule="auto"/>
      <w:ind w:left="1600"/>
      <w:jc w:val="both"/>
    </w:pPr>
    <w:rPr>
      <w:rFonts w:ascii="Calibri" w:hAnsi="Calibri" w:cs="Times New Roman"/>
      <w:iCs/>
      <w:color w:val="auto"/>
      <w:sz w:val="18"/>
      <w:szCs w:val="18"/>
    </w:rPr>
  </w:style>
  <w:style w:type="character" w:customStyle="1" w:styleId="Charc">
    <w:name w:val="Χωρίς διάστιχο Char"/>
    <w:link w:val="17"/>
    <w:uiPriority w:val="1"/>
    <w:rsid w:val="00C97A40"/>
    <w:rPr>
      <w:rFonts w:ascii="Calibri" w:hAnsi="Calibri"/>
    </w:rPr>
  </w:style>
  <w:style w:type="paragraph" w:customStyle="1" w:styleId="ListParagraph2">
    <w:name w:val="List Paragraph2"/>
    <w:basedOn w:val="a1"/>
    <w:qFormat/>
    <w:rsid w:val="00C97A40"/>
    <w:pPr>
      <w:ind w:left="720"/>
    </w:pPr>
    <w:rPr>
      <w:rFonts w:ascii="Times New Roman" w:eastAsia="Calibri" w:hAnsi="Times New Roman" w:cs="Times New Roman"/>
      <w:color w:val="auto"/>
      <w:sz w:val="24"/>
      <w:szCs w:val="24"/>
    </w:rPr>
  </w:style>
  <w:style w:type="character" w:customStyle="1" w:styleId="CharChar26">
    <w:name w:val="Char Char26"/>
    <w:rsid w:val="00C97A40"/>
    <w:rPr>
      <w:b/>
      <w:bCs/>
      <w:caps/>
      <w:color w:val="FFFFFF"/>
      <w:spacing w:val="15"/>
      <w:sz w:val="22"/>
      <w:szCs w:val="22"/>
      <w:shd w:val="clear" w:color="auto" w:fill="4F81BD"/>
      <w:lang w:val="en" w:eastAsia="el-GR"/>
    </w:rPr>
  </w:style>
  <w:style w:type="table" w:styleId="37">
    <w:name w:val="Table List 3"/>
    <w:basedOn w:val="a3"/>
    <w:rsid w:val="00C97A40"/>
    <w:rPr>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54">
    <w:name w:val="Table List 5"/>
    <w:basedOn w:val="a3"/>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Grid 6"/>
    <w:basedOn w:val="a3"/>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
    <w:name w:val="Ανοιχτόχρωμη λίστα - ΄Εμφαση 11"/>
    <w:rsid w:val="00C97A40"/>
    <w:rPr>
      <w:rFonts w:ascii="Arial Unicode MS" w:hAnsi="Arial Unicode MS" w:cs="Arial Unicode M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
    <w:name w:val="Χωρίς λίστα111"/>
    <w:next w:val="a4"/>
    <w:semiHidden/>
    <w:unhideWhenUsed/>
    <w:rsid w:val="00C97A40"/>
  </w:style>
  <w:style w:type="table" w:customStyle="1" w:styleId="112">
    <w:name w:val="Πλέγμα πίνακα11"/>
    <w:basedOn w:val="a3"/>
    <w:next w:val="a9"/>
    <w:rsid w:val="00C97A4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Λίστα πίνακα 31"/>
    <w:basedOn w:val="a3"/>
    <w:next w:val="37"/>
    <w:rsid w:val="00C97A40"/>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0">
    <w:name w:val="Λίστα πίνακα 51"/>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
    <w:name w:val="Πλέγμα πίνακα 51"/>
    <w:basedOn w:val="a3"/>
    <w:next w:val="52"/>
    <w:rsid w:val="00C97A40"/>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Πλέγμα πίνακα 61"/>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Πλέγμα πίνακα 71"/>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Ανοιχτόχρωμη λίστα - ΄Εμφαση 111"/>
    <w:basedOn w:val="a3"/>
    <w:rsid w:val="00C97A40"/>
    <w:rPr>
      <w:rFonts w:ascii="Arial Unicode MS" w:eastAsia="Arial Unicode MS" w:hAnsi="Arial Unicode MS" w:cs="Arial Unicode MS"/>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a">
    <w:name w:val="footnote text"/>
    <w:basedOn w:val="a1"/>
    <w:link w:val="Charf"/>
    <w:uiPriority w:val="99"/>
    <w:unhideWhenUsed/>
    <w:rsid w:val="00C97A40"/>
    <w:rPr>
      <w:sz w:val="20"/>
      <w:szCs w:val="20"/>
    </w:rPr>
  </w:style>
  <w:style w:type="character" w:customStyle="1" w:styleId="Charf">
    <w:name w:val="Κείμενο υποσημείωσης Char"/>
    <w:link w:val="afa"/>
    <w:uiPriority w:val="99"/>
    <w:rsid w:val="00C97A40"/>
    <w:rPr>
      <w:rFonts w:ascii="Verdana" w:hAnsi="Verdana" w:cs="UB-Calligula"/>
      <w:color w:val="000000"/>
    </w:rPr>
  </w:style>
  <w:style w:type="character" w:styleId="afb">
    <w:name w:val="footnote reference"/>
    <w:uiPriority w:val="99"/>
    <w:unhideWhenUsed/>
    <w:rsid w:val="00C97A40"/>
    <w:rPr>
      <w:vertAlign w:val="superscript"/>
    </w:rPr>
  </w:style>
  <w:style w:type="table" w:customStyle="1" w:styleId="1f">
    <w:name w:val="Ανοιχτόχρωμη σκίαση1"/>
    <w:basedOn w:val="a3"/>
    <w:rsid w:val="00C97A40"/>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2">
    <w:name w:val="Style2"/>
    <w:basedOn w:val="a1"/>
    <w:link w:val="Style2Char"/>
    <w:rsid w:val="00C97A40"/>
    <w:pPr>
      <w:widowControl w:val="0"/>
      <w:autoSpaceDE w:val="0"/>
      <w:autoSpaceDN w:val="0"/>
      <w:adjustRightInd w:val="0"/>
      <w:spacing w:before="120" w:after="120" w:line="372" w:lineRule="exact"/>
      <w:jc w:val="both"/>
    </w:pPr>
    <w:rPr>
      <w:rFonts w:cs="Times New Roman"/>
      <w:color w:val="auto"/>
      <w:sz w:val="22"/>
      <w:szCs w:val="24"/>
    </w:rPr>
  </w:style>
  <w:style w:type="character" w:customStyle="1" w:styleId="Style2Char">
    <w:name w:val="Style2 Char"/>
    <w:link w:val="Style2"/>
    <w:rsid w:val="00C97A40"/>
    <w:rPr>
      <w:rFonts w:ascii="Verdana" w:hAnsi="Verdana"/>
      <w:sz w:val="22"/>
      <w:szCs w:val="24"/>
    </w:rPr>
  </w:style>
  <w:style w:type="table" w:customStyle="1" w:styleId="2-11">
    <w:name w:val="Μεσαία λίστα 2 - ΄Εμφαση 11"/>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f0">
    <w:name w:val="Ημερολόγιο 1"/>
    <w:basedOn w:val="a3"/>
    <w:uiPriority w:val="99"/>
    <w:qFormat/>
    <w:rsid w:val="00C97A40"/>
    <w:rPr>
      <w:rFonts w:ascii="Calibri" w:hAnsi="Calibri"/>
      <w:sz w:val="22"/>
      <w:szCs w:val="22"/>
      <w:lang w:eastAsia="en-GB"/>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rial Unicode MS" w:hAnsi="Arial Unicode MS"/>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afc">
    <w:name w:val="TOC Heading"/>
    <w:basedOn w:val="10"/>
    <w:next w:val="a1"/>
    <w:uiPriority w:val="39"/>
    <w:qFormat/>
    <w:rsid w:val="00C97A40"/>
    <w:pPr>
      <w:outlineLvl w:val="9"/>
    </w:pPr>
    <w:rPr>
      <w:lang w:bidi="en-US"/>
    </w:rPr>
  </w:style>
  <w:style w:type="paragraph" w:styleId="afd">
    <w:name w:val="No Spacing"/>
    <w:basedOn w:val="a1"/>
    <w:link w:val="Char10"/>
    <w:uiPriority w:val="1"/>
    <w:qFormat/>
    <w:rsid w:val="00C97A40"/>
    <w:pPr>
      <w:jc w:val="both"/>
    </w:pPr>
    <w:rPr>
      <w:rFonts w:ascii="Calibri" w:hAnsi="Calibri" w:cs="Times New Roman"/>
      <w:color w:val="auto"/>
      <w:sz w:val="20"/>
      <w:szCs w:val="20"/>
    </w:rPr>
  </w:style>
  <w:style w:type="paragraph" w:styleId="afe">
    <w:name w:val="Quote"/>
    <w:basedOn w:val="a1"/>
    <w:next w:val="a1"/>
    <w:link w:val="Char11"/>
    <w:uiPriority w:val="29"/>
    <w:qFormat/>
    <w:rsid w:val="00C97A40"/>
    <w:pPr>
      <w:spacing w:line="276" w:lineRule="auto"/>
      <w:jc w:val="both"/>
    </w:pPr>
    <w:rPr>
      <w:rFonts w:ascii="Calibri" w:hAnsi="Calibri" w:cs="Times New Roman"/>
      <w:i/>
      <w:iCs/>
      <w:color w:val="auto"/>
      <w:sz w:val="20"/>
      <w:szCs w:val="20"/>
    </w:rPr>
  </w:style>
  <w:style w:type="character" w:customStyle="1" w:styleId="Char11">
    <w:name w:val="Απόσπασμα Char1"/>
    <w:link w:val="afe"/>
    <w:uiPriority w:val="29"/>
    <w:rsid w:val="00C97A40"/>
    <w:rPr>
      <w:rFonts w:ascii="Calibri" w:hAnsi="Calibri"/>
      <w:i/>
      <w:iCs/>
    </w:rPr>
  </w:style>
  <w:style w:type="paragraph" w:styleId="aff">
    <w:name w:val="Intense Quote"/>
    <w:basedOn w:val="a1"/>
    <w:next w:val="a1"/>
    <w:link w:val="Char12"/>
    <w:uiPriority w:val="30"/>
    <w:qFormat/>
    <w:rsid w:val="00C97A40"/>
    <w:pPr>
      <w:pBdr>
        <w:top w:val="single" w:sz="4" w:space="10" w:color="4F81BD"/>
        <w:left w:val="single" w:sz="4" w:space="10" w:color="4F81BD"/>
      </w:pBdr>
      <w:spacing w:line="276" w:lineRule="auto"/>
      <w:ind w:left="1296" w:right="1152"/>
      <w:jc w:val="both"/>
    </w:pPr>
    <w:rPr>
      <w:rFonts w:ascii="Calibri" w:hAnsi="Calibri" w:cs="Times New Roman"/>
      <w:i/>
      <w:iCs/>
      <w:color w:val="4F81BD"/>
      <w:sz w:val="20"/>
      <w:szCs w:val="20"/>
    </w:rPr>
  </w:style>
  <w:style w:type="character" w:customStyle="1" w:styleId="Charf0">
    <w:name w:val="Έντονο απόσπασμα Char"/>
    <w:uiPriority w:val="30"/>
    <w:rsid w:val="00C97A40"/>
    <w:rPr>
      <w:rFonts w:ascii="Verdana" w:hAnsi="Verdana" w:cs="UB-Calligula"/>
      <w:i/>
      <w:iCs/>
      <w:color w:val="5B9BD5"/>
      <w:sz w:val="16"/>
      <w:szCs w:val="16"/>
    </w:rPr>
  </w:style>
  <w:style w:type="character" w:customStyle="1" w:styleId="Char12">
    <w:name w:val="Έντονο απόσπασμα Char1"/>
    <w:link w:val="aff"/>
    <w:uiPriority w:val="30"/>
    <w:rsid w:val="00C97A40"/>
    <w:rPr>
      <w:rFonts w:ascii="Calibri" w:hAnsi="Calibri"/>
      <w:i/>
      <w:iCs/>
      <w:color w:val="4F81BD"/>
    </w:rPr>
  </w:style>
  <w:style w:type="character" w:styleId="aff0">
    <w:name w:val="Subtle Emphasis"/>
    <w:uiPriority w:val="19"/>
    <w:qFormat/>
    <w:rsid w:val="00C97A40"/>
    <w:rPr>
      <w:i/>
      <w:iCs/>
      <w:color w:val="243F60"/>
    </w:rPr>
  </w:style>
  <w:style w:type="character" w:styleId="aff1">
    <w:name w:val="Intense Emphasis"/>
    <w:uiPriority w:val="21"/>
    <w:qFormat/>
    <w:rsid w:val="00C97A40"/>
    <w:rPr>
      <w:b/>
      <w:bCs/>
      <w:caps/>
      <w:color w:val="243F60"/>
      <w:spacing w:val="10"/>
    </w:rPr>
  </w:style>
  <w:style w:type="character" w:styleId="aff2">
    <w:name w:val="Subtle Reference"/>
    <w:uiPriority w:val="31"/>
    <w:qFormat/>
    <w:rsid w:val="00C97A40"/>
    <w:rPr>
      <w:b/>
      <w:bCs/>
      <w:color w:val="4F81BD"/>
    </w:rPr>
  </w:style>
  <w:style w:type="character" w:styleId="aff3">
    <w:name w:val="Intense Reference"/>
    <w:uiPriority w:val="32"/>
    <w:qFormat/>
    <w:rsid w:val="00C97A40"/>
    <w:rPr>
      <w:b/>
      <w:bCs/>
      <w:i/>
      <w:iCs/>
      <w:caps/>
      <w:color w:val="4F81BD"/>
    </w:rPr>
  </w:style>
  <w:style w:type="character" w:styleId="aff4">
    <w:name w:val="Book Title"/>
    <w:uiPriority w:val="33"/>
    <w:qFormat/>
    <w:rsid w:val="00C97A40"/>
    <w:rPr>
      <w:b/>
      <w:bCs/>
      <w:i/>
      <w:iCs/>
      <w:spacing w:val="9"/>
    </w:rPr>
  </w:style>
  <w:style w:type="character" w:customStyle="1" w:styleId="Char10">
    <w:name w:val="Χωρίς διάστιχο Char1"/>
    <w:link w:val="afd"/>
    <w:uiPriority w:val="1"/>
    <w:rsid w:val="00C97A40"/>
    <w:rPr>
      <w:rFonts w:ascii="Calibri" w:hAnsi="Calibri"/>
    </w:rPr>
  </w:style>
  <w:style w:type="table" w:styleId="aff5">
    <w:name w:val="Light Shading"/>
    <w:basedOn w:val="a3"/>
    <w:rsid w:val="00C97A40"/>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1">
    <w:name w:val="Medium List 2 Accent 1"/>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aff6">
    <w:name w:val="endnote text"/>
    <w:basedOn w:val="a1"/>
    <w:link w:val="Charf1"/>
    <w:uiPriority w:val="99"/>
    <w:unhideWhenUsed/>
    <w:rsid w:val="00C97A40"/>
    <w:pPr>
      <w:spacing w:line="276" w:lineRule="auto"/>
      <w:jc w:val="both"/>
    </w:pPr>
    <w:rPr>
      <w:rFonts w:ascii="Calibri" w:hAnsi="Calibri" w:cs="Times New Roman"/>
      <w:color w:val="auto"/>
      <w:sz w:val="20"/>
      <w:szCs w:val="20"/>
    </w:rPr>
  </w:style>
  <w:style w:type="character" w:customStyle="1" w:styleId="Charf1">
    <w:name w:val="Κείμενο σημείωσης τέλους Char"/>
    <w:link w:val="aff6"/>
    <w:uiPriority w:val="99"/>
    <w:rsid w:val="00C97A40"/>
    <w:rPr>
      <w:rFonts w:ascii="Calibri" w:hAnsi="Calibri"/>
    </w:rPr>
  </w:style>
  <w:style w:type="character" w:styleId="aff7">
    <w:name w:val="endnote reference"/>
    <w:uiPriority w:val="99"/>
    <w:unhideWhenUsed/>
    <w:rsid w:val="00C97A40"/>
    <w:rPr>
      <w:vertAlign w:val="superscript"/>
    </w:rPr>
  </w:style>
  <w:style w:type="numbering" w:customStyle="1" w:styleId="27">
    <w:name w:val="Χωρίς λίστα2"/>
    <w:next w:val="a4"/>
    <w:semiHidden/>
    <w:unhideWhenUsed/>
    <w:rsid w:val="00C97A40"/>
  </w:style>
  <w:style w:type="paragraph" w:customStyle="1" w:styleId="ListParagraph3">
    <w:name w:val="List Paragraph3"/>
    <w:basedOn w:val="a1"/>
    <w:uiPriority w:val="34"/>
    <w:qFormat/>
    <w:rsid w:val="00C97A40"/>
    <w:pPr>
      <w:spacing w:line="276" w:lineRule="auto"/>
      <w:ind w:left="720"/>
      <w:contextualSpacing/>
      <w:jc w:val="both"/>
    </w:pPr>
    <w:rPr>
      <w:rFonts w:ascii="Calibri" w:hAnsi="Calibri" w:cs="Times New Roman"/>
      <w:color w:val="auto"/>
      <w:sz w:val="20"/>
      <w:szCs w:val="20"/>
    </w:rPr>
  </w:style>
  <w:style w:type="paragraph" w:customStyle="1" w:styleId="TOCHeading1">
    <w:name w:val="TOC Heading1"/>
    <w:basedOn w:val="10"/>
    <w:next w:val="a1"/>
    <w:uiPriority w:val="39"/>
    <w:qFormat/>
    <w:rsid w:val="00C97A40"/>
    <w:pPr>
      <w:numPr>
        <w:numId w:val="0"/>
      </w:numPr>
      <w:tabs>
        <w:tab w:val="num" w:pos="283"/>
      </w:tabs>
      <w:ind w:left="283" w:hanging="283"/>
      <w:outlineLvl w:val="9"/>
    </w:pPr>
    <w:rPr>
      <w:lang w:bidi="en-US"/>
    </w:rPr>
  </w:style>
  <w:style w:type="table" w:customStyle="1" w:styleId="28">
    <w:name w:val="Πλέγμα πίνακα2"/>
    <w:basedOn w:val="a3"/>
    <w:next w:val="a9"/>
    <w:rsid w:val="00C97A40"/>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Πλέγμα πίνακα 52"/>
    <w:basedOn w:val="a3"/>
    <w:next w:val="52"/>
    <w:rsid w:val="00C97A40"/>
    <w:rPr>
      <w:rFonts w:ascii="Calibri" w:hAnsi="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NoSpacing1">
    <w:name w:val="No Spacing1"/>
    <w:basedOn w:val="a1"/>
    <w:link w:val="NoSpacingChar"/>
    <w:uiPriority w:val="1"/>
    <w:qFormat/>
    <w:rsid w:val="00C97A40"/>
    <w:pPr>
      <w:jc w:val="both"/>
    </w:pPr>
    <w:rPr>
      <w:rFonts w:ascii="Calibri" w:hAnsi="Calibri" w:cs="Times New Roman"/>
      <w:color w:val="auto"/>
      <w:sz w:val="20"/>
      <w:szCs w:val="20"/>
      <w:lang w:eastAsia="x-none"/>
    </w:rPr>
  </w:style>
  <w:style w:type="paragraph" w:customStyle="1" w:styleId="Quote1">
    <w:name w:val="Quote1"/>
    <w:basedOn w:val="a1"/>
    <w:next w:val="a1"/>
    <w:link w:val="QuoteChar"/>
    <w:uiPriority w:val="29"/>
    <w:qFormat/>
    <w:rsid w:val="00C97A40"/>
    <w:pPr>
      <w:spacing w:line="276" w:lineRule="auto"/>
      <w:jc w:val="both"/>
    </w:pPr>
    <w:rPr>
      <w:rFonts w:ascii="Calibri" w:hAnsi="Calibri" w:cs="Times New Roman"/>
      <w:i/>
      <w:iCs/>
      <w:color w:val="auto"/>
      <w:sz w:val="20"/>
      <w:szCs w:val="20"/>
      <w:lang w:eastAsia="x-none"/>
    </w:rPr>
  </w:style>
  <w:style w:type="character" w:customStyle="1" w:styleId="QuoteChar">
    <w:name w:val="Quote Char"/>
    <w:link w:val="Quote1"/>
    <w:uiPriority w:val="29"/>
    <w:rsid w:val="00C97A40"/>
    <w:rPr>
      <w:rFonts w:ascii="Calibri" w:hAnsi="Calibri"/>
      <w:i/>
      <w:iCs/>
      <w:lang w:val="en" w:eastAsia="x-none"/>
    </w:rPr>
  </w:style>
  <w:style w:type="paragraph" w:customStyle="1" w:styleId="IntenseQuote1">
    <w:name w:val="Intense Quote1"/>
    <w:basedOn w:val="a1"/>
    <w:next w:val="a1"/>
    <w:link w:val="IntenseQuoteChar"/>
    <w:uiPriority w:val="30"/>
    <w:qFormat/>
    <w:rsid w:val="00C97A40"/>
    <w:pPr>
      <w:pBdr>
        <w:top w:val="single" w:sz="4" w:space="10" w:color="4F81BD"/>
        <w:left w:val="single" w:sz="4" w:space="10" w:color="4F81BD"/>
      </w:pBdr>
      <w:spacing w:line="276" w:lineRule="auto"/>
      <w:ind w:left="1296" w:right="1152"/>
      <w:jc w:val="both"/>
    </w:pPr>
    <w:rPr>
      <w:rFonts w:ascii="Calibri" w:hAnsi="Calibri" w:cs="Times New Roman"/>
      <w:i/>
      <w:iCs/>
      <w:color w:val="4F81BD"/>
      <w:sz w:val="20"/>
      <w:szCs w:val="20"/>
      <w:lang w:eastAsia="x-none"/>
    </w:rPr>
  </w:style>
  <w:style w:type="character" w:customStyle="1" w:styleId="IntenseQuoteChar">
    <w:name w:val="Intense Quote Char"/>
    <w:link w:val="IntenseQuote1"/>
    <w:uiPriority w:val="30"/>
    <w:rsid w:val="00C97A40"/>
    <w:rPr>
      <w:rFonts w:ascii="Calibri" w:hAnsi="Calibri"/>
      <w:i/>
      <w:iCs/>
      <w:color w:val="4F81BD"/>
      <w:lang w:val="en" w:eastAsia="x-none"/>
    </w:rPr>
  </w:style>
  <w:style w:type="character" w:customStyle="1" w:styleId="SubtleEmphasis1">
    <w:name w:val="Subtle Emphasis1"/>
    <w:uiPriority w:val="19"/>
    <w:qFormat/>
    <w:rsid w:val="00C97A40"/>
    <w:rPr>
      <w:i/>
      <w:iCs/>
      <w:color w:val="243F60"/>
    </w:rPr>
  </w:style>
  <w:style w:type="character" w:customStyle="1" w:styleId="IntenseEmphasis1">
    <w:name w:val="Intense Emphasis1"/>
    <w:uiPriority w:val="21"/>
    <w:qFormat/>
    <w:rsid w:val="00C97A40"/>
    <w:rPr>
      <w:b/>
      <w:bCs/>
      <w:caps/>
      <w:color w:val="243F60"/>
      <w:spacing w:val="10"/>
    </w:rPr>
  </w:style>
  <w:style w:type="character" w:customStyle="1" w:styleId="SubtleReference1">
    <w:name w:val="Subtle Reference1"/>
    <w:uiPriority w:val="31"/>
    <w:qFormat/>
    <w:rsid w:val="00C97A40"/>
    <w:rPr>
      <w:b/>
      <w:bCs/>
      <w:color w:val="4F81BD"/>
    </w:rPr>
  </w:style>
  <w:style w:type="character" w:customStyle="1" w:styleId="IntenseReference1">
    <w:name w:val="Intense Reference1"/>
    <w:uiPriority w:val="32"/>
    <w:qFormat/>
    <w:rsid w:val="00C97A40"/>
    <w:rPr>
      <w:b/>
      <w:bCs/>
      <w:i/>
      <w:iCs/>
      <w:caps/>
      <w:color w:val="4F81BD"/>
    </w:rPr>
  </w:style>
  <w:style w:type="character" w:customStyle="1" w:styleId="BookTitle1">
    <w:name w:val="Book Title1"/>
    <w:uiPriority w:val="33"/>
    <w:qFormat/>
    <w:rsid w:val="00C97A40"/>
    <w:rPr>
      <w:b/>
      <w:bCs/>
      <w:i/>
      <w:iCs/>
      <w:spacing w:val="9"/>
    </w:rPr>
  </w:style>
  <w:style w:type="character" w:customStyle="1" w:styleId="NoSpacingChar">
    <w:name w:val="No Spacing Char"/>
    <w:link w:val="NoSpacing1"/>
    <w:uiPriority w:val="1"/>
    <w:rsid w:val="00C97A40"/>
    <w:rPr>
      <w:rFonts w:ascii="Calibri" w:hAnsi="Calibri"/>
      <w:lang w:val="en" w:eastAsia="x-none"/>
    </w:rPr>
  </w:style>
  <w:style w:type="table" w:customStyle="1" w:styleId="320">
    <w:name w:val="Λίστα πίνακα 32"/>
    <w:basedOn w:val="a3"/>
    <w:next w:val="37"/>
    <w:rsid w:val="00C97A40"/>
    <w:rPr>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21">
    <w:name w:val="Λίστα πίνακα 52"/>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Πλέγμα πίνακα 62"/>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
    <w:name w:val="Πλέγμα πίνακα 72"/>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2">
    <w:name w:val="Ανοιχτόχρωμη λίστα - ΄Εμφαση 112"/>
    <w:rsid w:val="00C97A40"/>
    <w:rPr>
      <w:rFonts w:ascii="Arial Unicode MS" w:hAnsi="Arial Unicode MS" w:cs="Arial Unicode M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
    <w:name w:val="Χωρίς λίστα1111"/>
    <w:next w:val="a4"/>
    <w:semiHidden/>
    <w:unhideWhenUsed/>
    <w:rsid w:val="00C97A40"/>
  </w:style>
  <w:style w:type="table" w:customStyle="1" w:styleId="311">
    <w:name w:val="Λίστα πίνακα 311"/>
    <w:basedOn w:val="a3"/>
    <w:next w:val="37"/>
    <w:rsid w:val="00C97A40"/>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10">
    <w:name w:val="Λίστα πίνακα 511"/>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1">
    <w:name w:val="Πλέγμα πίνακα 511"/>
    <w:basedOn w:val="a3"/>
    <w:next w:val="52"/>
    <w:rsid w:val="00C97A40"/>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Πλέγμα πίνακα 611"/>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Πλέγμα πίνακα 711"/>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
    <w:name w:val="Ανοιχτόχρωμη λίστα - ΄Εμφαση 1111"/>
    <w:basedOn w:val="a3"/>
    <w:rsid w:val="00C97A40"/>
    <w:rPr>
      <w:rFonts w:ascii="Arial Unicode MS" w:eastAsia="Arial Unicode MS" w:hAnsi="Arial Unicode MS" w:cs="Arial Unicode MS"/>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a3"/>
    <w:rsid w:val="00C97A40"/>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Accent11">
    <w:name w:val="Medium List 2 - Accent 11"/>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aff8">
    <w:name w:val="Revision"/>
    <w:hidden/>
    <w:uiPriority w:val="99"/>
    <w:semiHidden/>
    <w:rsid w:val="00C97A40"/>
    <w:rPr>
      <w:rFonts w:ascii="Calibri" w:hAnsi="Calibri"/>
    </w:rPr>
  </w:style>
  <w:style w:type="character" w:customStyle="1" w:styleId="Char3">
    <w:name w:val="Παράγραφος λίστας Char"/>
    <w:link w:val="ab"/>
    <w:uiPriority w:val="34"/>
    <w:locked/>
    <w:rsid w:val="00C97A40"/>
    <w:rPr>
      <w:rFonts w:ascii="Calibri" w:eastAsia="Calibri" w:hAnsi="Calibri"/>
      <w:sz w:val="22"/>
      <w:szCs w:val="22"/>
      <w:lang w:val="en" w:eastAsia="en-US"/>
    </w:rPr>
  </w:style>
  <w:style w:type="paragraph" w:customStyle="1" w:styleId="xmsonormal">
    <w:name w:val="x_msonormal"/>
    <w:basedOn w:val="a1"/>
    <w:rsid w:val="00C97A40"/>
    <w:pPr>
      <w:spacing w:before="100" w:beforeAutospacing="1" w:after="100" w:afterAutospacing="1"/>
    </w:pPr>
    <w:rPr>
      <w:rFonts w:ascii="Times New Roman" w:hAnsi="Times New Roman" w:cs="Times New Roman"/>
      <w:color w:val="auto"/>
      <w:sz w:val="24"/>
      <w:szCs w:val="24"/>
    </w:rPr>
  </w:style>
  <w:style w:type="numbering" w:customStyle="1" w:styleId="38">
    <w:name w:val="Χωρίς λίστα3"/>
    <w:next w:val="a4"/>
    <w:semiHidden/>
    <w:unhideWhenUsed/>
    <w:rsid w:val="00C97A40"/>
  </w:style>
  <w:style w:type="table" w:customStyle="1" w:styleId="39">
    <w:name w:val="Πλέγμα πίνακα3"/>
    <w:basedOn w:val="a3"/>
    <w:next w:val="a9"/>
    <w:rsid w:val="00C97A40"/>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Πλέγμα πίνακα 53"/>
    <w:basedOn w:val="a3"/>
    <w:next w:val="52"/>
    <w:rsid w:val="00C97A40"/>
    <w:rPr>
      <w:rFonts w:ascii="Calibri" w:hAnsi="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330">
    <w:name w:val="Λίστα πίνακα 33"/>
    <w:basedOn w:val="a3"/>
    <w:next w:val="37"/>
    <w:rsid w:val="00C97A40"/>
    <w:rPr>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31">
    <w:name w:val="Λίστα πίνακα 53"/>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Πλέγμα πίνακα 63"/>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
    <w:name w:val="Πλέγμα πίνακα 73"/>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3">
    <w:name w:val="Ανοιχτόχρωμη λίστα - ΄Εμφαση 113"/>
    <w:rsid w:val="00C97A40"/>
    <w:rPr>
      <w:rFonts w:ascii="Arial Unicode MS" w:hAnsi="Arial Unicode MS" w:cs="Arial Unicode M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20">
    <w:name w:val="Χωρίς λίστα12"/>
    <w:next w:val="a4"/>
    <w:semiHidden/>
    <w:unhideWhenUsed/>
    <w:rsid w:val="00C97A40"/>
  </w:style>
  <w:style w:type="table" w:customStyle="1" w:styleId="121">
    <w:name w:val="Πλέγμα πίνακα12"/>
    <w:basedOn w:val="a3"/>
    <w:next w:val="a9"/>
    <w:rsid w:val="00C97A4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Λίστα πίνακα 312"/>
    <w:basedOn w:val="a3"/>
    <w:next w:val="37"/>
    <w:rsid w:val="00C97A40"/>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2">
    <w:name w:val="Λίστα πίνακα 512"/>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20">
    <w:name w:val="Πλέγμα πίνακα 512"/>
    <w:basedOn w:val="a3"/>
    <w:next w:val="52"/>
    <w:rsid w:val="00C97A40"/>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Πλέγμα πίνακα 612"/>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Πλέγμα πίνακα 712"/>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
    <w:name w:val="Ανοιχτόχρωμη λίστα - ΄Εμφαση 1112"/>
    <w:basedOn w:val="a3"/>
    <w:rsid w:val="00C97A40"/>
    <w:rPr>
      <w:rFonts w:ascii="Arial Unicode MS" w:eastAsia="Arial Unicode MS" w:hAnsi="Arial Unicode MS" w:cs="Arial Unicode MS"/>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
    <w:name w:val="Ανοιχτόχρωμη σκίαση11"/>
    <w:basedOn w:val="a3"/>
    <w:rsid w:val="00C97A40"/>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
    <w:name w:val="Μεσαία λίστα 2 - ΄Εμφαση 111"/>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4">
    <w:name w:val="Ημερολόγιο 11"/>
    <w:basedOn w:val="a3"/>
    <w:uiPriority w:val="99"/>
    <w:qFormat/>
    <w:rsid w:val="00C97A40"/>
    <w:rPr>
      <w:rFonts w:ascii="Calibri" w:hAnsi="Calibri"/>
      <w:sz w:val="22"/>
      <w:szCs w:val="22"/>
      <w:lang w:eastAsia="en-GB"/>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rial Unicode MS" w:hAnsi="Arial Unicode MS"/>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Char13">
    <w:name w:val="Έντονο εισαγωγικό Char1"/>
    <w:uiPriority w:val="30"/>
    <w:rsid w:val="00C97A40"/>
    <w:rPr>
      <w:i/>
      <w:iCs/>
      <w:color w:val="4F81BD"/>
    </w:rPr>
  </w:style>
  <w:style w:type="table" w:customStyle="1" w:styleId="29">
    <w:name w:val="Ανοιχτόχρωμη σκίαση2"/>
    <w:basedOn w:val="a3"/>
    <w:next w:val="aff5"/>
    <w:rsid w:val="00C97A40"/>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
    <w:name w:val="Μεσαία λίστα 2 - ΄Εμφαση 12"/>
    <w:basedOn w:val="a3"/>
    <w:next w:val="2-1"/>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210">
    <w:name w:val="Χωρίς λίστα21"/>
    <w:next w:val="a4"/>
    <w:semiHidden/>
    <w:unhideWhenUsed/>
    <w:rsid w:val="00C97A40"/>
  </w:style>
  <w:style w:type="paragraph" w:customStyle="1" w:styleId="ListParagraph4">
    <w:name w:val="List Paragraph4"/>
    <w:basedOn w:val="a1"/>
    <w:uiPriority w:val="34"/>
    <w:qFormat/>
    <w:rsid w:val="00C97A40"/>
    <w:pPr>
      <w:spacing w:line="276" w:lineRule="auto"/>
      <w:ind w:left="720"/>
      <w:contextualSpacing/>
      <w:jc w:val="both"/>
    </w:pPr>
    <w:rPr>
      <w:rFonts w:ascii="Calibri" w:hAnsi="Calibri" w:cs="Times New Roman"/>
      <w:color w:val="auto"/>
      <w:sz w:val="20"/>
      <w:szCs w:val="20"/>
    </w:rPr>
  </w:style>
  <w:style w:type="paragraph" w:customStyle="1" w:styleId="TOCHeading2">
    <w:name w:val="TOC Heading2"/>
    <w:basedOn w:val="10"/>
    <w:next w:val="a1"/>
    <w:uiPriority w:val="39"/>
    <w:qFormat/>
    <w:rsid w:val="00C97A40"/>
    <w:pPr>
      <w:numPr>
        <w:numId w:val="0"/>
      </w:numPr>
      <w:tabs>
        <w:tab w:val="num" w:pos="283"/>
      </w:tabs>
      <w:ind w:left="283" w:hanging="283"/>
      <w:outlineLvl w:val="9"/>
    </w:pPr>
    <w:rPr>
      <w:lang w:bidi="en-US"/>
    </w:rPr>
  </w:style>
  <w:style w:type="table" w:customStyle="1" w:styleId="211">
    <w:name w:val="Πλέγμα πίνακα21"/>
    <w:basedOn w:val="a3"/>
    <w:next w:val="a9"/>
    <w:rsid w:val="00C97A40"/>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Πλέγμα πίνακα 521"/>
    <w:basedOn w:val="a3"/>
    <w:next w:val="52"/>
    <w:rsid w:val="00C97A40"/>
    <w:rPr>
      <w:rFonts w:ascii="Calibri" w:hAnsi="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NoSpacing2">
    <w:name w:val="No Spacing2"/>
    <w:basedOn w:val="a1"/>
    <w:uiPriority w:val="1"/>
    <w:qFormat/>
    <w:rsid w:val="00C97A40"/>
    <w:pPr>
      <w:jc w:val="both"/>
    </w:pPr>
    <w:rPr>
      <w:rFonts w:ascii="Calibri" w:hAnsi="Calibri" w:cs="Times New Roman"/>
      <w:color w:val="auto"/>
      <w:sz w:val="20"/>
      <w:szCs w:val="20"/>
      <w:lang w:eastAsia="x-none"/>
    </w:rPr>
  </w:style>
  <w:style w:type="paragraph" w:customStyle="1" w:styleId="Quote2">
    <w:name w:val="Quote2"/>
    <w:basedOn w:val="a1"/>
    <w:next w:val="a1"/>
    <w:uiPriority w:val="29"/>
    <w:qFormat/>
    <w:rsid w:val="00C97A40"/>
    <w:pPr>
      <w:spacing w:line="276" w:lineRule="auto"/>
      <w:jc w:val="both"/>
    </w:pPr>
    <w:rPr>
      <w:rFonts w:ascii="Calibri" w:hAnsi="Calibri" w:cs="Times New Roman"/>
      <w:i/>
      <w:iCs/>
      <w:color w:val="auto"/>
      <w:sz w:val="20"/>
      <w:szCs w:val="20"/>
      <w:lang w:eastAsia="x-none"/>
    </w:rPr>
  </w:style>
  <w:style w:type="paragraph" w:customStyle="1" w:styleId="IntenseQuote2">
    <w:name w:val="Intense Quote2"/>
    <w:basedOn w:val="a1"/>
    <w:next w:val="a1"/>
    <w:uiPriority w:val="30"/>
    <w:qFormat/>
    <w:rsid w:val="00C97A40"/>
    <w:pPr>
      <w:pBdr>
        <w:top w:val="single" w:sz="4" w:space="10" w:color="4F81BD"/>
        <w:left w:val="single" w:sz="4" w:space="10" w:color="4F81BD"/>
      </w:pBdr>
      <w:spacing w:line="276" w:lineRule="auto"/>
      <w:ind w:left="1296" w:right="1152"/>
      <w:jc w:val="both"/>
    </w:pPr>
    <w:rPr>
      <w:rFonts w:ascii="Calibri" w:hAnsi="Calibri" w:cs="Times New Roman"/>
      <w:i/>
      <w:iCs/>
      <w:color w:val="4F81BD"/>
      <w:sz w:val="20"/>
      <w:szCs w:val="20"/>
      <w:lang w:eastAsia="x-none"/>
    </w:rPr>
  </w:style>
  <w:style w:type="character" w:customStyle="1" w:styleId="SubtleEmphasis2">
    <w:name w:val="Subtle Emphasis2"/>
    <w:uiPriority w:val="19"/>
    <w:qFormat/>
    <w:rsid w:val="00C97A40"/>
    <w:rPr>
      <w:i/>
      <w:iCs/>
      <w:color w:val="243F60"/>
    </w:rPr>
  </w:style>
  <w:style w:type="character" w:customStyle="1" w:styleId="IntenseEmphasis2">
    <w:name w:val="Intense Emphasis2"/>
    <w:uiPriority w:val="21"/>
    <w:qFormat/>
    <w:rsid w:val="00C97A40"/>
    <w:rPr>
      <w:b/>
      <w:bCs/>
      <w:caps/>
      <w:color w:val="243F60"/>
      <w:spacing w:val="10"/>
    </w:rPr>
  </w:style>
  <w:style w:type="character" w:customStyle="1" w:styleId="SubtleReference2">
    <w:name w:val="Subtle Reference2"/>
    <w:uiPriority w:val="31"/>
    <w:qFormat/>
    <w:rsid w:val="00C97A40"/>
    <w:rPr>
      <w:b/>
      <w:bCs/>
      <w:color w:val="4F81BD"/>
    </w:rPr>
  </w:style>
  <w:style w:type="character" w:customStyle="1" w:styleId="IntenseReference2">
    <w:name w:val="Intense Reference2"/>
    <w:uiPriority w:val="32"/>
    <w:qFormat/>
    <w:rsid w:val="00C97A40"/>
    <w:rPr>
      <w:b/>
      <w:bCs/>
      <w:i/>
      <w:iCs/>
      <w:caps/>
      <w:color w:val="4F81BD"/>
    </w:rPr>
  </w:style>
  <w:style w:type="character" w:customStyle="1" w:styleId="BookTitle2">
    <w:name w:val="Book Title2"/>
    <w:uiPriority w:val="33"/>
    <w:qFormat/>
    <w:rsid w:val="00C97A40"/>
    <w:rPr>
      <w:b/>
      <w:bCs/>
      <w:i/>
      <w:iCs/>
      <w:spacing w:val="9"/>
    </w:rPr>
  </w:style>
  <w:style w:type="table" w:customStyle="1" w:styleId="321">
    <w:name w:val="Λίστα πίνακα 321"/>
    <w:basedOn w:val="a3"/>
    <w:next w:val="37"/>
    <w:rsid w:val="00C97A40"/>
    <w:rPr>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211">
    <w:name w:val="Λίστα πίνακα 521"/>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
    <w:name w:val="Πλέγμα πίνακα 621"/>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Πλέγμα πίνακα 721"/>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21">
    <w:name w:val="Ανοιχτόχρωμη λίστα - ΄Εμφαση 1121"/>
    <w:rsid w:val="00C97A40"/>
    <w:rPr>
      <w:rFonts w:ascii="Arial Unicode MS" w:hAnsi="Arial Unicode MS" w:cs="Arial Unicode M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1">
    <w:name w:val="Χωρίς λίστα11111"/>
    <w:next w:val="a4"/>
    <w:semiHidden/>
    <w:unhideWhenUsed/>
    <w:rsid w:val="00C97A40"/>
  </w:style>
  <w:style w:type="table" w:customStyle="1" w:styleId="1110">
    <w:name w:val="Πλέγμα πίνακα111"/>
    <w:basedOn w:val="a3"/>
    <w:next w:val="a9"/>
    <w:rsid w:val="00C97A4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Λίστα πίνακα 3111"/>
    <w:basedOn w:val="a3"/>
    <w:next w:val="37"/>
    <w:rsid w:val="00C97A40"/>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110">
    <w:name w:val="Λίστα πίνακα 5111"/>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11">
    <w:name w:val="Πλέγμα πίνακα 5111"/>
    <w:basedOn w:val="a3"/>
    <w:next w:val="52"/>
    <w:rsid w:val="00C97A40"/>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Πλέγμα πίνακα 6111"/>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Πλέγμα πίνακα 7111"/>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
    <w:name w:val="Ανοιχτόχρωμη λίστα - ΄Εμφαση 11111"/>
    <w:basedOn w:val="a3"/>
    <w:rsid w:val="00C97A40"/>
    <w:rPr>
      <w:rFonts w:ascii="Arial Unicode MS" w:eastAsia="Arial Unicode MS" w:hAnsi="Arial Unicode MS" w:cs="Arial Unicode MS"/>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
    <w:name w:val="Light Shading2"/>
    <w:basedOn w:val="a3"/>
    <w:rsid w:val="00C97A40"/>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Accent12">
    <w:name w:val="Medium List 2 - Accent 12"/>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313">
    <w:name w:val="Χωρίς λίστα31"/>
    <w:next w:val="a4"/>
    <w:uiPriority w:val="99"/>
    <w:semiHidden/>
    <w:unhideWhenUsed/>
    <w:rsid w:val="00C97A40"/>
  </w:style>
  <w:style w:type="table" w:customStyle="1" w:styleId="314">
    <w:name w:val="Πλέγμα πίνακα31"/>
    <w:basedOn w:val="a3"/>
    <w:next w:val="a9"/>
    <w:uiPriority w:val="39"/>
    <w:rsid w:val="00C97A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C97A40"/>
    <w:pPr>
      <w:spacing w:before="0" w:after="0" w:line="171" w:lineRule="atLeast"/>
    </w:pPr>
    <w:rPr>
      <w:rFonts w:ascii="Open Sans Light" w:hAnsi="Open Sans Light" w:cs="Times New Roman"/>
      <w:color w:val="auto"/>
      <w:lang w:eastAsia="en-US"/>
    </w:rPr>
  </w:style>
  <w:style w:type="paragraph" w:customStyle="1" w:styleId="Pa19">
    <w:name w:val="Pa19"/>
    <w:basedOn w:val="Default"/>
    <w:next w:val="Default"/>
    <w:uiPriority w:val="99"/>
    <w:rsid w:val="00C97A40"/>
    <w:pPr>
      <w:spacing w:before="0" w:after="0" w:line="171" w:lineRule="atLeast"/>
    </w:pPr>
    <w:rPr>
      <w:rFonts w:ascii="Open Sans Light" w:hAnsi="Open Sans Light" w:cs="Times New Roman"/>
      <w:color w:val="auto"/>
      <w:lang w:eastAsia="en-US"/>
    </w:rPr>
  </w:style>
  <w:style w:type="character" w:customStyle="1" w:styleId="Style1Char">
    <w:name w:val="Style1 Char"/>
    <w:link w:val="Style1"/>
    <w:locked/>
    <w:rsid w:val="00C97A40"/>
    <w:rPr>
      <w:rFonts w:cs="Calibri"/>
      <w:b/>
      <w:sz w:val="28"/>
      <w:szCs w:val="28"/>
    </w:rPr>
  </w:style>
  <w:style w:type="paragraph" w:customStyle="1" w:styleId="Style1">
    <w:name w:val="Style1"/>
    <w:basedOn w:val="ab"/>
    <w:link w:val="Style1Char"/>
    <w:qFormat/>
    <w:rsid w:val="00C97A40"/>
    <w:pPr>
      <w:keepNext/>
      <w:keepLines/>
      <w:numPr>
        <w:numId w:val="21"/>
      </w:numPr>
      <w:spacing w:line="312" w:lineRule="auto"/>
    </w:pPr>
    <w:rPr>
      <w:rFonts w:ascii="Times New Roman" w:eastAsia="Times New Roman" w:hAnsi="Times New Roman" w:cs="Calibri"/>
      <w:b/>
      <w:sz w:val="28"/>
      <w:szCs w:val="28"/>
      <w:lang w:eastAsia="el-GR"/>
    </w:rPr>
  </w:style>
  <w:style w:type="character" w:customStyle="1" w:styleId="xrefnolink2">
    <w:name w:val="xref_no_link2"/>
    <w:rsid w:val="00C97A40"/>
  </w:style>
  <w:style w:type="character" w:customStyle="1" w:styleId="xcontentpasted7">
    <w:name w:val="x_contentpasted7"/>
    <w:rsid w:val="00C97A40"/>
  </w:style>
  <w:style w:type="numbering" w:customStyle="1" w:styleId="44">
    <w:name w:val="Χωρίς λίστα4"/>
    <w:next w:val="a4"/>
    <w:uiPriority w:val="99"/>
    <w:semiHidden/>
    <w:unhideWhenUsed/>
    <w:rsid w:val="00C97A40"/>
  </w:style>
  <w:style w:type="numbering" w:customStyle="1" w:styleId="130">
    <w:name w:val="Χωρίς λίστα13"/>
    <w:next w:val="a4"/>
    <w:uiPriority w:val="99"/>
    <w:semiHidden/>
    <w:unhideWhenUsed/>
    <w:rsid w:val="00C97A40"/>
  </w:style>
  <w:style w:type="table" w:customStyle="1" w:styleId="45">
    <w:name w:val="Πλέγμα πίνακα4"/>
    <w:basedOn w:val="a3"/>
    <w:next w:val="a9"/>
    <w:rsid w:val="00C97A4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Χωρίς λίστα112"/>
    <w:next w:val="a4"/>
    <w:semiHidden/>
    <w:unhideWhenUsed/>
    <w:rsid w:val="00C97A40"/>
  </w:style>
  <w:style w:type="table" w:customStyle="1" w:styleId="131">
    <w:name w:val="Πλέγμα πίνακα13"/>
    <w:basedOn w:val="a3"/>
    <w:next w:val="a9"/>
    <w:rsid w:val="00C97A40"/>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Πλέγμα πίνακα 54"/>
    <w:basedOn w:val="a3"/>
    <w:next w:val="52"/>
    <w:rsid w:val="00C97A40"/>
    <w:rPr>
      <w:rFonts w:ascii="Calibri" w:hAnsi="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340">
    <w:name w:val="Λίστα πίνακα 34"/>
    <w:basedOn w:val="a3"/>
    <w:next w:val="37"/>
    <w:rsid w:val="00C97A40"/>
    <w:rPr>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41">
    <w:name w:val="Λίστα πίνακα 54"/>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4">
    <w:name w:val="Πλέγμα πίνακα 64"/>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4">
    <w:name w:val="Πλέγμα πίνακα 74"/>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4">
    <w:name w:val="Ανοιχτόχρωμη λίστα - ΄Εμφαση 114"/>
    <w:rsid w:val="00C97A40"/>
    <w:rPr>
      <w:rFonts w:ascii="Arial Unicode MS" w:hAnsi="Arial Unicode MS" w:cs="Arial Unicode M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2">
    <w:name w:val="Χωρίς λίστα1112"/>
    <w:next w:val="a4"/>
    <w:semiHidden/>
    <w:unhideWhenUsed/>
    <w:rsid w:val="00C97A40"/>
  </w:style>
  <w:style w:type="table" w:customStyle="1" w:styleId="1121">
    <w:name w:val="Πλέγμα πίνακα112"/>
    <w:basedOn w:val="a3"/>
    <w:next w:val="a9"/>
    <w:rsid w:val="00C97A4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Λίστα πίνακα 313"/>
    <w:basedOn w:val="a3"/>
    <w:next w:val="37"/>
    <w:rsid w:val="00C97A40"/>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3">
    <w:name w:val="Λίστα πίνακα 513"/>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30">
    <w:name w:val="Πλέγμα πίνακα 513"/>
    <w:basedOn w:val="a3"/>
    <w:next w:val="52"/>
    <w:rsid w:val="00C97A40"/>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Πλέγμα πίνακα 613"/>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Πλέγμα πίνακα 713"/>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
    <w:name w:val="Ανοιχτόχρωμη λίστα - ΄Εμφαση 1113"/>
    <w:basedOn w:val="a3"/>
    <w:rsid w:val="00C97A40"/>
    <w:rPr>
      <w:rFonts w:ascii="Arial Unicode MS" w:eastAsia="Arial Unicode MS" w:hAnsi="Arial Unicode MS" w:cs="Arial Unicode MS"/>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2">
    <w:name w:val="Ανοιχτόχρωμη σκίαση12"/>
    <w:basedOn w:val="a3"/>
    <w:rsid w:val="00C97A40"/>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2">
    <w:name w:val="Μεσαία λίστα 2 - ΄Εμφαση 112"/>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23">
    <w:name w:val="Ημερολόγιο 12"/>
    <w:basedOn w:val="a3"/>
    <w:uiPriority w:val="99"/>
    <w:qFormat/>
    <w:rsid w:val="00C97A40"/>
    <w:rPr>
      <w:rFonts w:ascii="Calibri" w:hAnsi="Calibri"/>
      <w:sz w:val="22"/>
      <w:szCs w:val="22"/>
      <w:lang w:eastAsia="en-GB"/>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rial Unicode MS" w:hAnsi="Arial Unicode MS"/>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3a">
    <w:name w:val="Ανοιχτόχρωμη σκίαση3"/>
    <w:basedOn w:val="a3"/>
    <w:next w:val="aff5"/>
    <w:rsid w:val="00C97A40"/>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3">
    <w:name w:val="Μεσαία λίστα 2 - ΄Εμφαση 13"/>
    <w:basedOn w:val="a3"/>
    <w:next w:val="2-1"/>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220">
    <w:name w:val="Χωρίς λίστα22"/>
    <w:next w:val="a4"/>
    <w:semiHidden/>
    <w:unhideWhenUsed/>
    <w:rsid w:val="00C97A40"/>
  </w:style>
  <w:style w:type="table" w:customStyle="1" w:styleId="221">
    <w:name w:val="Πλέγμα πίνακα22"/>
    <w:basedOn w:val="a3"/>
    <w:next w:val="a9"/>
    <w:rsid w:val="00C97A40"/>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Πλέγμα πίνακα 522"/>
    <w:basedOn w:val="a3"/>
    <w:next w:val="52"/>
    <w:rsid w:val="00C97A40"/>
    <w:rPr>
      <w:rFonts w:ascii="Calibri" w:hAnsi="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322">
    <w:name w:val="Λίστα πίνακα 322"/>
    <w:basedOn w:val="a3"/>
    <w:next w:val="37"/>
    <w:rsid w:val="00C97A40"/>
    <w:rPr>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220">
    <w:name w:val="Λίστα πίνακα 522"/>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2">
    <w:name w:val="Πλέγμα πίνακα 622"/>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2">
    <w:name w:val="Πλέγμα πίνακα 722"/>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22">
    <w:name w:val="Ανοιχτόχρωμη λίστα - ΄Εμφαση 1122"/>
    <w:rsid w:val="00C97A40"/>
    <w:rPr>
      <w:rFonts w:ascii="Arial Unicode MS" w:hAnsi="Arial Unicode MS" w:cs="Arial Unicode M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2">
    <w:name w:val="Χωρίς λίστα11112"/>
    <w:next w:val="a4"/>
    <w:semiHidden/>
    <w:unhideWhenUsed/>
    <w:rsid w:val="00C97A40"/>
  </w:style>
  <w:style w:type="table" w:customStyle="1" w:styleId="3112">
    <w:name w:val="Λίστα πίνακα 3112"/>
    <w:basedOn w:val="a3"/>
    <w:next w:val="37"/>
    <w:rsid w:val="00C97A40"/>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12">
    <w:name w:val="Λίστα πίνακα 5112"/>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20">
    <w:name w:val="Πλέγμα πίνακα 5112"/>
    <w:basedOn w:val="a3"/>
    <w:next w:val="52"/>
    <w:rsid w:val="00C97A40"/>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Πλέγμα πίνακα 6112"/>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Πλέγμα πίνακα 7112"/>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2">
    <w:name w:val="Ανοιχτόχρωμη λίστα - ΄Εμφαση 11112"/>
    <w:basedOn w:val="a3"/>
    <w:rsid w:val="00C97A40"/>
    <w:rPr>
      <w:rFonts w:ascii="Arial Unicode MS" w:eastAsia="Arial Unicode MS" w:hAnsi="Arial Unicode MS" w:cs="Arial Unicode MS"/>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1">
    <w:name w:val="Light Shading11"/>
    <w:basedOn w:val="a3"/>
    <w:rsid w:val="00C97A40"/>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Accent111">
    <w:name w:val="Medium List 2 - Accent 111"/>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323">
    <w:name w:val="Χωρίς λίστα32"/>
    <w:next w:val="a4"/>
    <w:semiHidden/>
    <w:unhideWhenUsed/>
    <w:rsid w:val="00C97A40"/>
  </w:style>
  <w:style w:type="table" w:customStyle="1" w:styleId="324">
    <w:name w:val="Πλέγμα πίνακα32"/>
    <w:basedOn w:val="a3"/>
    <w:next w:val="a9"/>
    <w:rsid w:val="00C97A40"/>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Πλέγμα πίνακα 531"/>
    <w:basedOn w:val="a3"/>
    <w:next w:val="52"/>
    <w:rsid w:val="00C97A40"/>
    <w:rPr>
      <w:rFonts w:ascii="Calibri" w:hAnsi="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331">
    <w:name w:val="Λίστα πίνακα 331"/>
    <w:basedOn w:val="a3"/>
    <w:next w:val="37"/>
    <w:rsid w:val="00C97A40"/>
    <w:rPr>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311">
    <w:name w:val="Λίστα πίνακα 531"/>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1">
    <w:name w:val="Πλέγμα πίνακα 631"/>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1">
    <w:name w:val="Πλέγμα πίνακα 731"/>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31">
    <w:name w:val="Ανοιχτόχρωμη λίστα - ΄Εμφαση 1131"/>
    <w:rsid w:val="00C97A40"/>
    <w:rPr>
      <w:rFonts w:ascii="Arial Unicode MS" w:hAnsi="Arial Unicode MS" w:cs="Arial Unicode M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210">
    <w:name w:val="Χωρίς λίστα121"/>
    <w:next w:val="a4"/>
    <w:semiHidden/>
    <w:unhideWhenUsed/>
    <w:rsid w:val="00C97A40"/>
  </w:style>
  <w:style w:type="table" w:customStyle="1" w:styleId="1211">
    <w:name w:val="Πλέγμα πίνακα121"/>
    <w:basedOn w:val="a3"/>
    <w:next w:val="a9"/>
    <w:rsid w:val="00C97A4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Λίστα πίνακα 3121"/>
    <w:basedOn w:val="a3"/>
    <w:next w:val="37"/>
    <w:rsid w:val="00C97A40"/>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21">
    <w:name w:val="Λίστα πίνακα 5121"/>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210">
    <w:name w:val="Πλέγμα πίνακα 5121"/>
    <w:basedOn w:val="a3"/>
    <w:next w:val="52"/>
    <w:rsid w:val="00C97A40"/>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Πλέγμα πίνακα 6121"/>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Πλέγμα πίνακα 7121"/>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1">
    <w:name w:val="Ανοιχτόχρωμη λίστα - ΄Εμφαση 11121"/>
    <w:basedOn w:val="a3"/>
    <w:rsid w:val="00C97A40"/>
    <w:rPr>
      <w:rFonts w:ascii="Arial Unicode MS" w:eastAsia="Arial Unicode MS" w:hAnsi="Arial Unicode MS" w:cs="Arial Unicode MS"/>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
    <w:name w:val="Ανοιχτόχρωμη σκίαση111"/>
    <w:basedOn w:val="a3"/>
    <w:rsid w:val="00C97A40"/>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1">
    <w:name w:val="Μεσαία λίστα 2 - ΄Εμφαση 1111"/>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4">
    <w:name w:val="Ημερολόγιο 111"/>
    <w:basedOn w:val="a3"/>
    <w:uiPriority w:val="99"/>
    <w:qFormat/>
    <w:rsid w:val="00C97A40"/>
    <w:rPr>
      <w:rFonts w:ascii="Calibri" w:hAnsi="Calibri"/>
      <w:sz w:val="22"/>
      <w:szCs w:val="22"/>
      <w:lang w:eastAsia="en-GB"/>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rial Unicode MS" w:hAnsi="Arial Unicode MS"/>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212">
    <w:name w:val="Ανοιχτόχρωμη σκίαση21"/>
    <w:basedOn w:val="a3"/>
    <w:next w:val="aff5"/>
    <w:rsid w:val="00C97A40"/>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1">
    <w:name w:val="Μεσαία λίστα 2 - ΄Εμφαση 121"/>
    <w:basedOn w:val="a3"/>
    <w:next w:val="2-1"/>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2110">
    <w:name w:val="Χωρίς λίστα211"/>
    <w:next w:val="a4"/>
    <w:semiHidden/>
    <w:unhideWhenUsed/>
    <w:rsid w:val="00C97A40"/>
  </w:style>
  <w:style w:type="table" w:customStyle="1" w:styleId="2111">
    <w:name w:val="Πλέγμα πίνακα211"/>
    <w:basedOn w:val="a3"/>
    <w:next w:val="a9"/>
    <w:rsid w:val="00C97A40"/>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Πλέγμα πίνακα 5211"/>
    <w:basedOn w:val="a3"/>
    <w:next w:val="52"/>
    <w:rsid w:val="00C97A40"/>
    <w:rPr>
      <w:rFonts w:ascii="Calibri" w:hAnsi="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3211">
    <w:name w:val="Λίστα πίνακα 3211"/>
    <w:basedOn w:val="a3"/>
    <w:next w:val="37"/>
    <w:rsid w:val="00C97A40"/>
    <w:rPr>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2111">
    <w:name w:val="Λίστα πίνακα 5211"/>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1">
    <w:name w:val="Πλέγμα πίνακα 6211"/>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1">
    <w:name w:val="Πλέγμα πίνακα 7211"/>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211">
    <w:name w:val="Ανοιχτόχρωμη λίστα - ΄Εμφαση 11211"/>
    <w:rsid w:val="00C97A40"/>
    <w:rPr>
      <w:rFonts w:ascii="Arial Unicode MS" w:hAnsi="Arial Unicode MS" w:cs="Arial Unicode M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11">
    <w:name w:val="Χωρίς λίστα111111"/>
    <w:next w:val="a4"/>
    <w:semiHidden/>
    <w:unhideWhenUsed/>
    <w:rsid w:val="00C97A40"/>
  </w:style>
  <w:style w:type="table" w:customStyle="1" w:styleId="11110">
    <w:name w:val="Πλέγμα πίνακα1111"/>
    <w:basedOn w:val="a3"/>
    <w:next w:val="a9"/>
    <w:rsid w:val="00C97A4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Λίστα πίνακα 31111"/>
    <w:basedOn w:val="a3"/>
    <w:next w:val="37"/>
    <w:rsid w:val="00C97A40"/>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1110">
    <w:name w:val="Λίστα πίνακα 51111"/>
    <w:basedOn w:val="a3"/>
    <w:next w:val="54"/>
    <w:rsid w:val="00C97A40"/>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111">
    <w:name w:val="Πλέγμα πίνακα 51111"/>
    <w:basedOn w:val="a3"/>
    <w:next w:val="52"/>
    <w:rsid w:val="00C97A40"/>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
    <w:name w:val="Πλέγμα πίνακα 61111"/>
    <w:basedOn w:val="a3"/>
    <w:next w:val="61"/>
    <w:rsid w:val="00C97A40"/>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Πλέγμα πίνακα 71111"/>
    <w:basedOn w:val="a3"/>
    <w:next w:val="71"/>
    <w:rsid w:val="00C97A40"/>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1">
    <w:name w:val="Ανοιχτόχρωμη λίστα - ΄Εμφαση 111111"/>
    <w:basedOn w:val="a3"/>
    <w:rsid w:val="00C97A40"/>
    <w:rPr>
      <w:rFonts w:ascii="Arial Unicode MS" w:eastAsia="Arial Unicode MS" w:hAnsi="Arial Unicode MS" w:cs="Arial Unicode MS"/>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1">
    <w:name w:val="Light Shading21"/>
    <w:basedOn w:val="a3"/>
    <w:rsid w:val="00C97A40"/>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Accent121">
    <w:name w:val="Medium List 2 - Accent 121"/>
    <w:basedOn w:val="a3"/>
    <w:uiPriority w:val="66"/>
    <w:rsid w:val="00C97A40"/>
    <w:rPr>
      <w:rFonts w:ascii="Cambria" w:hAnsi="Cambria"/>
      <w:color w:val="000000"/>
      <w:sz w:val="22"/>
      <w:szCs w:val="22"/>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3110">
    <w:name w:val="Χωρίς λίστα311"/>
    <w:next w:val="a4"/>
    <w:uiPriority w:val="99"/>
    <w:semiHidden/>
    <w:unhideWhenUsed/>
    <w:rsid w:val="00C97A40"/>
  </w:style>
  <w:style w:type="table" w:customStyle="1" w:styleId="3113">
    <w:name w:val="Πλέγμα πίνακα311"/>
    <w:basedOn w:val="a3"/>
    <w:next w:val="a9"/>
    <w:uiPriority w:val="39"/>
    <w:rsid w:val="00C97A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41916">
      <w:bodyDiv w:val="1"/>
      <w:marLeft w:val="0"/>
      <w:marRight w:val="0"/>
      <w:marTop w:val="0"/>
      <w:marBottom w:val="0"/>
      <w:divBdr>
        <w:top w:val="none" w:sz="0" w:space="0" w:color="auto"/>
        <w:left w:val="none" w:sz="0" w:space="0" w:color="auto"/>
        <w:bottom w:val="none" w:sz="0" w:space="0" w:color="auto"/>
        <w:right w:val="none" w:sz="0" w:space="0" w:color="auto"/>
      </w:divBdr>
    </w:div>
    <w:div w:id="886188605">
      <w:bodyDiv w:val="1"/>
      <w:marLeft w:val="0"/>
      <w:marRight w:val="0"/>
      <w:marTop w:val="0"/>
      <w:marBottom w:val="0"/>
      <w:divBdr>
        <w:top w:val="none" w:sz="0" w:space="0" w:color="auto"/>
        <w:left w:val="none" w:sz="0" w:space="0" w:color="auto"/>
        <w:bottom w:val="none" w:sz="0" w:space="0" w:color="auto"/>
        <w:right w:val="none" w:sz="0" w:space="0" w:color="auto"/>
      </w:divBdr>
      <w:divsChild>
        <w:div w:id="81291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7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4072">
      <w:bodyDiv w:val="1"/>
      <w:marLeft w:val="0"/>
      <w:marRight w:val="0"/>
      <w:marTop w:val="0"/>
      <w:marBottom w:val="0"/>
      <w:divBdr>
        <w:top w:val="none" w:sz="0" w:space="0" w:color="auto"/>
        <w:left w:val="none" w:sz="0" w:space="0" w:color="auto"/>
        <w:bottom w:val="none" w:sz="0" w:space="0" w:color="auto"/>
        <w:right w:val="none" w:sz="0" w:space="0" w:color="auto"/>
      </w:divBdr>
    </w:div>
    <w:div w:id="1842773612">
      <w:bodyDiv w:val="1"/>
      <w:marLeft w:val="0"/>
      <w:marRight w:val="0"/>
      <w:marTop w:val="0"/>
      <w:marBottom w:val="0"/>
      <w:divBdr>
        <w:top w:val="none" w:sz="0" w:space="0" w:color="auto"/>
        <w:left w:val="none" w:sz="0" w:space="0" w:color="auto"/>
        <w:bottom w:val="none" w:sz="0" w:space="0" w:color="auto"/>
        <w:right w:val="none" w:sz="0" w:space="0" w:color="auto"/>
      </w:divBdr>
    </w:div>
    <w:div w:id="20771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omothesia.gr/tags.html?tag=51%2F200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ydap.g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gamal\Application%20Data\Microsoft\&#928;&#961;&#972;&#964;&#965;&#960;&#945;\&#917;&#932;&#913;&#921;&#929;&#921;&#922;&#919;%20&#913;&#925;&#913;&#922;&#927;&#921;&#925;&#937;&#931;&#919;%20GR.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6E47F-B067-46A2-8A3A-FEFA76BB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ΕΤΑΙΡΙΚΗ ΑΝΑΚΟΙΝΩΣΗ GR</Template>
  <TotalTime>32</TotalTime>
  <Pages>5</Pages>
  <Words>2572</Words>
  <Characters>13895</Characters>
  <Application>Microsoft Office Word</Application>
  <DocSecurity>0</DocSecurity>
  <Lines>115</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Αθήνα, 15 Φεβρουαρίου 2008</vt:lpstr>
      <vt:lpstr>Αθήνα, 15 Φεβρουαρίου 2008</vt:lpstr>
    </vt:vector>
  </TitlesOfParts>
  <Company>Microsoft</Company>
  <LinksUpToDate>false</LinksUpToDate>
  <CharactersWithSpaces>16435</CharactersWithSpaces>
  <SharedDoc>false</SharedDoc>
  <HLinks>
    <vt:vector size="12" baseType="variant">
      <vt:variant>
        <vt:i4>1179668</vt:i4>
      </vt:variant>
      <vt:variant>
        <vt:i4>3</vt:i4>
      </vt:variant>
      <vt:variant>
        <vt:i4>0</vt:i4>
      </vt:variant>
      <vt:variant>
        <vt:i4>5</vt:i4>
      </vt:variant>
      <vt:variant>
        <vt:lpwstr>http://www.eydap.gr/</vt:lpwstr>
      </vt:variant>
      <vt:variant>
        <vt:lpwstr/>
      </vt:variant>
      <vt:variant>
        <vt:i4>2228338</vt:i4>
      </vt:variant>
      <vt:variant>
        <vt:i4>0</vt:i4>
      </vt:variant>
      <vt:variant>
        <vt:i4>0</vt:i4>
      </vt:variant>
      <vt:variant>
        <vt:i4>5</vt:i4>
      </vt:variant>
      <vt:variant>
        <vt:lpwstr>https://www.e-nomothesia.gr/tags.html?tag=51%2F2007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15 Φεβρουαρίου 2008</dc:title>
  <dc:subject/>
  <dc:creator>mgamal</dc:creator>
  <cp:keywords/>
  <cp:lastModifiedBy>Ζερβού Νεφέλη</cp:lastModifiedBy>
  <cp:revision>7</cp:revision>
  <cp:lastPrinted>2020-01-22T10:51:00Z</cp:lastPrinted>
  <dcterms:created xsi:type="dcterms:W3CDTF">2023-04-26T22:16:00Z</dcterms:created>
  <dcterms:modified xsi:type="dcterms:W3CDTF">2023-04-27T06:53:00Z</dcterms:modified>
</cp:coreProperties>
</file>