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96" w:rsidRDefault="00FE2996" w:rsidP="00157529">
      <w:pPr>
        <w:jc w:val="right"/>
        <w:rPr>
          <w:rFonts w:ascii="Verdana" w:hAnsi="Verdana"/>
          <w:b/>
          <w:sz w:val="24"/>
          <w:szCs w:val="24"/>
          <w:lang w:val="el-GR"/>
        </w:rPr>
      </w:pPr>
    </w:p>
    <w:p w:rsidR="00157529" w:rsidRPr="0084579A" w:rsidRDefault="0058155A" w:rsidP="00157529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April </w:t>
      </w:r>
      <w:r w:rsidR="00D136B0">
        <w:rPr>
          <w:rFonts w:ascii="Verdana" w:hAnsi="Verdana"/>
          <w:b/>
          <w:sz w:val="24"/>
          <w:szCs w:val="24"/>
        </w:rPr>
        <w:t>25</w:t>
      </w:r>
      <w:r>
        <w:rPr>
          <w:rFonts w:ascii="Verdana" w:hAnsi="Verdana"/>
          <w:b/>
          <w:sz w:val="24"/>
          <w:szCs w:val="24"/>
        </w:rPr>
        <w:t>,</w:t>
      </w:r>
      <w:r w:rsidR="00B34CFC" w:rsidRPr="0084579A">
        <w:rPr>
          <w:rFonts w:ascii="Verdana" w:hAnsi="Verdana"/>
          <w:b/>
          <w:sz w:val="24"/>
          <w:szCs w:val="24"/>
        </w:rPr>
        <w:t xml:space="preserve"> </w:t>
      </w:r>
      <w:r w:rsidR="003115DA" w:rsidRPr="0084579A">
        <w:rPr>
          <w:rFonts w:ascii="Verdana" w:hAnsi="Verdana"/>
          <w:b/>
          <w:sz w:val="24"/>
          <w:szCs w:val="24"/>
        </w:rPr>
        <w:t>2013</w:t>
      </w:r>
    </w:p>
    <w:p w:rsidR="00CF0C00" w:rsidRPr="0084579A" w:rsidRDefault="00CF0C00" w:rsidP="00E50CC7">
      <w:pPr>
        <w:spacing w:line="240" w:lineRule="auto"/>
        <w:jc w:val="center"/>
        <w:rPr>
          <w:rFonts w:ascii="Verdana" w:hAnsi="Verdana"/>
          <w:b/>
          <w:color w:val="0070C0"/>
          <w:sz w:val="26"/>
          <w:szCs w:val="26"/>
        </w:rPr>
      </w:pPr>
    </w:p>
    <w:p w:rsidR="00FE2996" w:rsidRPr="00DC5D84" w:rsidRDefault="00DC5D84" w:rsidP="00E50CC7">
      <w:pPr>
        <w:spacing w:line="240" w:lineRule="auto"/>
        <w:jc w:val="center"/>
        <w:rPr>
          <w:rFonts w:ascii="Verdana" w:hAnsi="Verdana"/>
          <w:b/>
          <w:color w:val="0070C0"/>
          <w:sz w:val="26"/>
          <w:szCs w:val="26"/>
        </w:rPr>
      </w:pPr>
      <w:r>
        <w:rPr>
          <w:rFonts w:ascii="Verdana" w:hAnsi="Verdana"/>
          <w:b/>
          <w:color w:val="0070C0"/>
          <w:sz w:val="26"/>
          <w:szCs w:val="26"/>
        </w:rPr>
        <w:t>Semi Annual Review of the Index</w:t>
      </w:r>
    </w:p>
    <w:p w:rsidR="003115DA" w:rsidRPr="00DC5D84" w:rsidRDefault="003115DA" w:rsidP="00E50CC7">
      <w:pPr>
        <w:spacing w:line="240" w:lineRule="auto"/>
        <w:jc w:val="center"/>
        <w:rPr>
          <w:rFonts w:ascii="Verdana" w:hAnsi="Verdana"/>
          <w:b/>
          <w:color w:val="0070C0"/>
          <w:sz w:val="26"/>
          <w:szCs w:val="26"/>
        </w:rPr>
      </w:pPr>
      <w:r w:rsidRPr="00DC5D84">
        <w:rPr>
          <w:rFonts w:ascii="Verdana" w:hAnsi="Verdana"/>
          <w:b/>
          <w:color w:val="0070C0"/>
          <w:sz w:val="26"/>
          <w:szCs w:val="26"/>
        </w:rPr>
        <w:t>«</w:t>
      </w:r>
      <w:r w:rsidR="00DC5D84">
        <w:rPr>
          <w:rFonts w:ascii="Verdana" w:hAnsi="Verdana"/>
          <w:b/>
          <w:color w:val="0070C0"/>
          <w:sz w:val="26"/>
          <w:szCs w:val="26"/>
        </w:rPr>
        <w:t>Hellenic</w:t>
      </w:r>
      <w:r w:rsidRPr="00DC5D84">
        <w:rPr>
          <w:rFonts w:ascii="Verdana" w:hAnsi="Verdana"/>
          <w:b/>
          <w:color w:val="0070C0"/>
          <w:sz w:val="26"/>
          <w:szCs w:val="26"/>
        </w:rPr>
        <w:t xml:space="preserve"> Mid &amp; Small Cap</w:t>
      </w:r>
      <w:r w:rsidR="00DC5D84">
        <w:rPr>
          <w:rFonts w:ascii="Verdana" w:hAnsi="Verdana"/>
          <w:b/>
          <w:color w:val="0070C0"/>
          <w:sz w:val="26"/>
          <w:szCs w:val="26"/>
        </w:rPr>
        <w:t xml:space="preserve"> Index</w:t>
      </w:r>
      <w:r w:rsidR="00E50CC7" w:rsidRPr="00DC5D84">
        <w:rPr>
          <w:rFonts w:ascii="Verdana" w:hAnsi="Verdana"/>
          <w:b/>
          <w:color w:val="0070C0"/>
          <w:sz w:val="26"/>
          <w:szCs w:val="26"/>
        </w:rPr>
        <w:t>»</w:t>
      </w:r>
      <w:r w:rsidRPr="00DC5D84">
        <w:rPr>
          <w:rFonts w:ascii="Verdana" w:hAnsi="Verdana"/>
          <w:b/>
          <w:color w:val="0070C0"/>
          <w:sz w:val="26"/>
          <w:szCs w:val="26"/>
        </w:rPr>
        <w:t xml:space="preserve"> </w:t>
      </w:r>
    </w:p>
    <w:p w:rsidR="00F71A6D" w:rsidRPr="00DC5D84" w:rsidRDefault="00F71A6D" w:rsidP="00F71A6D">
      <w:pPr>
        <w:jc w:val="center"/>
        <w:rPr>
          <w:rFonts w:ascii="Verdana" w:hAnsi="Verdana"/>
          <w:sz w:val="20"/>
          <w:szCs w:val="20"/>
        </w:rPr>
      </w:pPr>
    </w:p>
    <w:p w:rsidR="00CF0C00" w:rsidRPr="00D136B0" w:rsidRDefault="0078755C" w:rsidP="0084579A">
      <w:p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The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Committee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for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the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management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of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the</w:t>
      </w:r>
      <w:r w:rsidRPr="0078755C">
        <w:rPr>
          <w:rFonts w:ascii="Verdana" w:hAnsi="Verdana" w:cstheme="minorHAnsi"/>
          <w:sz w:val="20"/>
          <w:szCs w:val="20"/>
        </w:rPr>
        <w:t xml:space="preserve"> </w:t>
      </w:r>
      <w:r w:rsidR="00CF0C00" w:rsidRPr="0078755C">
        <w:rPr>
          <w:rFonts w:ascii="Verdana" w:hAnsi="Verdana" w:cstheme="minorHAnsi"/>
          <w:b/>
          <w:sz w:val="20"/>
          <w:szCs w:val="20"/>
        </w:rPr>
        <w:t>«</w:t>
      </w:r>
      <w:r w:rsidR="00DC5D84" w:rsidRPr="0078755C">
        <w:rPr>
          <w:rFonts w:ascii="Verdana" w:hAnsi="Verdana" w:cstheme="minorHAnsi"/>
          <w:b/>
          <w:sz w:val="20"/>
          <w:szCs w:val="20"/>
        </w:rPr>
        <w:t>Hellenic Mid &amp; Small Cap Index</w:t>
      </w:r>
      <w:r w:rsidR="00CF0C00" w:rsidRPr="0078755C">
        <w:rPr>
          <w:rFonts w:ascii="Verdana" w:hAnsi="Verdana" w:cstheme="minorHAnsi"/>
          <w:b/>
          <w:sz w:val="20"/>
          <w:szCs w:val="20"/>
        </w:rPr>
        <w:t>»</w:t>
      </w:r>
      <w:r w:rsidR="00CF0C00" w:rsidRPr="0078755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met today to approve the changes in the index composition </w:t>
      </w:r>
      <w:r w:rsidR="0084579A">
        <w:rPr>
          <w:rFonts w:ascii="Verdana" w:hAnsi="Verdana" w:cstheme="minorHAnsi"/>
          <w:sz w:val="20"/>
          <w:szCs w:val="20"/>
        </w:rPr>
        <w:t xml:space="preserve">according to </w:t>
      </w:r>
      <w:r w:rsidRPr="0078755C">
        <w:rPr>
          <w:rFonts w:ascii="Verdana" w:hAnsi="Verdana" w:cstheme="minorHAnsi"/>
          <w:sz w:val="20"/>
          <w:szCs w:val="20"/>
        </w:rPr>
        <w:t xml:space="preserve">the </w:t>
      </w:r>
      <w:r w:rsidR="0084579A">
        <w:rPr>
          <w:rFonts w:ascii="Verdana" w:hAnsi="Verdana" w:cstheme="minorHAnsi"/>
          <w:sz w:val="20"/>
          <w:szCs w:val="20"/>
        </w:rPr>
        <w:t xml:space="preserve">semi </w:t>
      </w:r>
      <w:r w:rsidRPr="0078755C">
        <w:rPr>
          <w:rFonts w:ascii="Verdana" w:hAnsi="Verdana" w:cstheme="minorHAnsi"/>
          <w:sz w:val="20"/>
          <w:szCs w:val="20"/>
        </w:rPr>
        <w:t xml:space="preserve">review </w:t>
      </w:r>
      <w:r w:rsidR="0084579A">
        <w:rPr>
          <w:rFonts w:ascii="Verdana" w:hAnsi="Verdana" w:cstheme="minorHAnsi"/>
          <w:sz w:val="20"/>
          <w:szCs w:val="20"/>
        </w:rPr>
        <w:t xml:space="preserve">of the index </w:t>
      </w:r>
      <w:r w:rsidRPr="0078755C">
        <w:rPr>
          <w:rFonts w:ascii="Verdana" w:hAnsi="Verdana" w:cstheme="minorHAnsi"/>
          <w:sz w:val="20"/>
          <w:szCs w:val="20"/>
        </w:rPr>
        <w:t>for the period October 201</w:t>
      </w:r>
      <w:r w:rsidR="00D136B0">
        <w:rPr>
          <w:rFonts w:ascii="Verdana" w:hAnsi="Verdana" w:cstheme="minorHAnsi"/>
          <w:sz w:val="20"/>
          <w:szCs w:val="20"/>
        </w:rPr>
        <w:t>2</w:t>
      </w:r>
      <w:r>
        <w:rPr>
          <w:rFonts w:ascii="Verdana" w:hAnsi="Verdana" w:cstheme="minorHAnsi"/>
          <w:sz w:val="20"/>
          <w:szCs w:val="20"/>
        </w:rPr>
        <w:t xml:space="preserve"> to </w:t>
      </w:r>
      <w:r w:rsidRPr="0078755C">
        <w:rPr>
          <w:rFonts w:ascii="Verdana" w:hAnsi="Verdana" w:cstheme="minorHAnsi"/>
          <w:sz w:val="20"/>
          <w:szCs w:val="20"/>
        </w:rPr>
        <w:t>March 201</w:t>
      </w:r>
      <w:r>
        <w:rPr>
          <w:rFonts w:ascii="Verdana" w:hAnsi="Verdana" w:cstheme="minorHAnsi"/>
          <w:sz w:val="20"/>
          <w:szCs w:val="20"/>
        </w:rPr>
        <w:t xml:space="preserve">3.  </w:t>
      </w:r>
      <w:r w:rsidR="0084579A">
        <w:rPr>
          <w:rFonts w:ascii="Verdana" w:hAnsi="Verdana" w:cstheme="minorHAnsi"/>
          <w:sz w:val="20"/>
          <w:szCs w:val="20"/>
        </w:rPr>
        <w:t xml:space="preserve">According to the </w:t>
      </w:r>
      <w:r w:rsidR="00C9079F">
        <w:rPr>
          <w:rFonts w:ascii="Verdana" w:hAnsi="Verdana" w:cstheme="minorHAnsi"/>
          <w:sz w:val="20"/>
          <w:szCs w:val="20"/>
        </w:rPr>
        <w:t xml:space="preserve">ground rules </w:t>
      </w:r>
      <w:r w:rsidR="0084579A">
        <w:rPr>
          <w:rFonts w:ascii="Verdana" w:hAnsi="Verdana" w:cstheme="minorHAnsi"/>
          <w:sz w:val="20"/>
          <w:szCs w:val="20"/>
        </w:rPr>
        <w:t xml:space="preserve">of the Index there were no additions or deletions from </w:t>
      </w:r>
      <w:r w:rsidR="00C9079F">
        <w:rPr>
          <w:rFonts w:ascii="Verdana" w:hAnsi="Verdana" w:cstheme="minorHAnsi"/>
          <w:sz w:val="20"/>
          <w:szCs w:val="20"/>
        </w:rPr>
        <w:t>it</w:t>
      </w:r>
      <w:r w:rsidR="0084579A">
        <w:rPr>
          <w:rFonts w:ascii="Verdana" w:hAnsi="Verdana" w:cstheme="minorHAnsi"/>
          <w:sz w:val="20"/>
          <w:szCs w:val="20"/>
        </w:rPr>
        <w:t xml:space="preserve">. </w:t>
      </w:r>
    </w:p>
    <w:p w:rsidR="00205721" w:rsidRPr="0058155A" w:rsidRDefault="0078755C" w:rsidP="00CF0C00">
      <w:pPr>
        <w:pStyle w:val="ListBulleting"/>
        <w:numPr>
          <w:ilvl w:val="0"/>
          <w:numId w:val="0"/>
        </w:numPr>
        <w:spacing w:before="120" w:after="120" w:line="360" w:lineRule="auto"/>
        <w:jc w:val="both"/>
        <w:rPr>
          <w:rFonts w:ascii="Verdana" w:eastAsia="Calibri" w:hAnsi="Verdana" w:cstheme="minorHAnsi"/>
          <w:sz w:val="20"/>
          <w:szCs w:val="20"/>
          <w:lang w:val="en-US"/>
        </w:rPr>
      </w:pPr>
      <w:r>
        <w:rPr>
          <w:rFonts w:ascii="Verdana" w:eastAsia="Calibri" w:hAnsi="Verdana" w:cstheme="minorHAnsi"/>
          <w:sz w:val="20"/>
          <w:szCs w:val="20"/>
          <w:lang w:val="en-US"/>
        </w:rPr>
        <w:t>It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is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noted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that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the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new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D136B0">
        <w:rPr>
          <w:rFonts w:ascii="Verdana" w:eastAsia="Calibri" w:hAnsi="Verdana" w:cstheme="minorHAnsi"/>
          <w:sz w:val="20"/>
          <w:szCs w:val="20"/>
          <w:lang w:val="en-US"/>
        </w:rPr>
        <w:t>I</w:t>
      </w:r>
      <w:r>
        <w:rPr>
          <w:rFonts w:ascii="Verdana" w:eastAsia="Calibri" w:hAnsi="Verdana" w:cstheme="minorHAnsi"/>
          <w:sz w:val="20"/>
          <w:szCs w:val="20"/>
          <w:lang w:val="en-US"/>
        </w:rPr>
        <w:t>ndex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capping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factors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will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be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>
        <w:rPr>
          <w:rFonts w:ascii="Verdana" w:eastAsia="Calibri" w:hAnsi="Verdana" w:cstheme="minorHAnsi"/>
          <w:sz w:val="20"/>
          <w:szCs w:val="20"/>
          <w:lang w:val="en-US"/>
        </w:rPr>
        <w:t>calculated</w:t>
      </w:r>
      <w:r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using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the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clos</w:t>
      </w:r>
      <w:r w:rsidR="00C9079F">
        <w:rPr>
          <w:rFonts w:ascii="Verdana" w:eastAsia="Calibri" w:hAnsi="Verdana" w:cstheme="minorHAnsi"/>
          <w:sz w:val="20"/>
          <w:szCs w:val="20"/>
          <w:lang w:val="en-US"/>
        </w:rPr>
        <w:t>ing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price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 xml:space="preserve">of the index constituents of the session of </w:t>
      </w:r>
      <w:r w:rsidRPr="0058155A">
        <w:rPr>
          <w:rFonts w:ascii="Verdana" w:eastAsia="Calibri" w:hAnsi="Verdana" w:cstheme="minorHAnsi"/>
          <w:b/>
          <w:sz w:val="20"/>
          <w:szCs w:val="20"/>
          <w:lang w:val="en-US"/>
        </w:rPr>
        <w:t>Friday, May 24, 2013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.</w:t>
      </w:r>
      <w:r w:rsidR="00541B07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All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changes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will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be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effective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>
        <w:rPr>
          <w:rFonts w:ascii="Verdana" w:eastAsia="Calibri" w:hAnsi="Verdana" w:cstheme="minorHAnsi"/>
          <w:sz w:val="20"/>
          <w:szCs w:val="20"/>
          <w:lang w:val="en-US"/>
        </w:rPr>
        <w:t>on</w:t>
      </w:r>
      <w:r w:rsidR="0058155A" w:rsidRPr="0058155A">
        <w:rPr>
          <w:rFonts w:ascii="Verdana" w:eastAsia="Calibri" w:hAnsi="Verdana" w:cstheme="minorHAnsi"/>
          <w:sz w:val="20"/>
          <w:szCs w:val="20"/>
          <w:lang w:val="en-US"/>
        </w:rPr>
        <w:t xml:space="preserve"> </w:t>
      </w:r>
      <w:r w:rsidR="0058155A" w:rsidRPr="0058155A">
        <w:rPr>
          <w:rFonts w:ascii="Verdana" w:eastAsia="Calibri" w:hAnsi="Verdana" w:cstheme="minorHAnsi"/>
          <w:b/>
          <w:sz w:val="20"/>
          <w:szCs w:val="20"/>
          <w:lang w:val="en-US"/>
        </w:rPr>
        <w:t>Monday June 3,</w:t>
      </w:r>
      <w:r w:rsidR="00541B07" w:rsidRPr="0058155A">
        <w:rPr>
          <w:rFonts w:ascii="Verdana" w:eastAsia="Calibri" w:hAnsi="Verdana" w:cstheme="minorHAnsi"/>
          <w:b/>
          <w:sz w:val="20"/>
          <w:szCs w:val="20"/>
          <w:lang w:val="en-US"/>
        </w:rPr>
        <w:t xml:space="preserve"> 2013</w:t>
      </w:r>
      <w:r w:rsidR="00541B07" w:rsidRPr="0058155A">
        <w:rPr>
          <w:rFonts w:ascii="Verdana" w:eastAsia="Calibri" w:hAnsi="Verdana" w:cstheme="minorHAnsi"/>
          <w:sz w:val="20"/>
          <w:szCs w:val="20"/>
          <w:lang w:val="en-US"/>
        </w:rPr>
        <w:t>.</w:t>
      </w:r>
    </w:p>
    <w:p w:rsidR="00E50CC7" w:rsidRPr="0058155A" w:rsidRDefault="0058155A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  <w:r>
        <w:rPr>
          <w:rFonts w:ascii="Verdana" w:hAnsi="Verdana"/>
          <w:i/>
          <w:color w:val="365F91" w:themeColor="accent1" w:themeShade="BF"/>
          <w:sz w:val="20"/>
          <w:szCs w:val="20"/>
        </w:rPr>
        <w:t>See index composition in the file attach</w:t>
      </w:r>
      <w:r w:rsidR="00E50CC7" w:rsidRPr="0058155A">
        <w:rPr>
          <w:rFonts w:ascii="Verdana" w:hAnsi="Verdana"/>
          <w:color w:val="365F91" w:themeColor="accent1" w:themeShade="BF"/>
          <w:sz w:val="20"/>
          <w:szCs w:val="20"/>
        </w:rPr>
        <w:t>.</w:t>
      </w: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41B07" w:rsidRPr="0058155A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</w:rPr>
      </w:pPr>
    </w:p>
    <w:p w:rsidR="0058155A" w:rsidRPr="006A620F" w:rsidRDefault="0058155A" w:rsidP="0058155A">
      <w:pPr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Index</w:t>
      </w:r>
      <w:r w:rsidRPr="006A62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ground</w:t>
      </w:r>
      <w:r w:rsidRPr="006A62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rules</w:t>
      </w:r>
      <w:r w:rsidRPr="006A62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are</w:t>
      </w:r>
      <w:r w:rsidRPr="006A62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available</w:t>
      </w:r>
      <w:r w:rsidRPr="006A62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at</w:t>
      </w:r>
      <w:r w:rsidRPr="006A620F">
        <w:rPr>
          <w:rFonts w:ascii="Verdana" w:hAnsi="Verdana"/>
          <w:sz w:val="16"/>
          <w:szCs w:val="16"/>
        </w:rPr>
        <w:t xml:space="preserve"> </w:t>
      </w:r>
      <w:hyperlink r:id="rId9" w:history="1">
        <w:r w:rsidRPr="006A620F">
          <w:rPr>
            <w:rStyle w:val="Hyperlink"/>
            <w:rFonts w:ascii="Verdana" w:hAnsi="Verdana"/>
            <w:sz w:val="16"/>
            <w:szCs w:val="16"/>
          </w:rPr>
          <w:t>ATHEX website</w:t>
        </w:r>
      </w:hyperlink>
      <w:r>
        <w:rPr>
          <w:rFonts w:ascii="Verdana" w:hAnsi="Verdana"/>
          <w:sz w:val="16"/>
          <w:szCs w:val="16"/>
        </w:rPr>
        <w:t xml:space="preserve"> and </w:t>
      </w:r>
      <w:hyperlink r:id="rId10" w:history="1">
        <w:r>
          <w:rPr>
            <w:rStyle w:val="Hyperlink"/>
            <w:rFonts w:ascii="Verdana" w:hAnsi="Verdana"/>
            <w:sz w:val="16"/>
            <w:szCs w:val="16"/>
          </w:rPr>
          <w:t>NBG</w:t>
        </w:r>
        <w:r w:rsidRPr="006A620F">
          <w:rPr>
            <w:rStyle w:val="Hyperlink"/>
            <w:rFonts w:ascii="Verdana" w:hAnsi="Verdana"/>
            <w:sz w:val="16"/>
            <w:szCs w:val="16"/>
          </w:rPr>
          <w:t xml:space="preserve"> Asset Management</w:t>
        </w:r>
        <w:r>
          <w:rPr>
            <w:rStyle w:val="Hyperlink"/>
            <w:rFonts w:ascii="Verdana" w:hAnsi="Verdana"/>
            <w:sz w:val="16"/>
            <w:szCs w:val="16"/>
          </w:rPr>
          <w:t xml:space="preserve"> M.F.M.C.</w:t>
        </w:r>
        <w:r w:rsidRPr="006A620F">
          <w:rPr>
            <w:rStyle w:val="Hyperlink"/>
            <w:rFonts w:ascii="Verdana" w:hAnsi="Verdana"/>
            <w:sz w:val="16"/>
            <w:szCs w:val="16"/>
          </w:rPr>
          <w:t xml:space="preserve"> website</w:t>
        </w:r>
      </w:hyperlink>
      <w:r>
        <w:rPr>
          <w:rFonts w:ascii="Verdana" w:hAnsi="Verdana"/>
          <w:sz w:val="16"/>
          <w:szCs w:val="16"/>
        </w:rPr>
        <w:t xml:space="preserve">. </w:t>
      </w:r>
    </w:p>
    <w:p w:rsidR="00EF1EFF" w:rsidRPr="0058155A" w:rsidRDefault="00EF1EFF" w:rsidP="0058155A">
      <w:pPr>
        <w:jc w:val="both"/>
        <w:rPr>
          <w:rFonts w:ascii="Verdana" w:hAnsi="Verdana" w:cstheme="minorHAnsi"/>
          <w:sz w:val="16"/>
          <w:szCs w:val="16"/>
        </w:rPr>
      </w:pPr>
    </w:p>
    <w:sectPr w:rsidR="00EF1EFF" w:rsidRPr="0058155A" w:rsidSect="003115DA">
      <w:headerReference w:type="default" r:id="rId11"/>
      <w:footerReference w:type="default" r:id="rId12"/>
      <w:pgSz w:w="11906" w:h="16838"/>
      <w:pgMar w:top="1954" w:right="1588" w:bottom="1021" w:left="1588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83" w:rsidRDefault="00130283" w:rsidP="00AE70CC">
      <w:pPr>
        <w:spacing w:after="0" w:line="240" w:lineRule="auto"/>
      </w:pPr>
      <w:r>
        <w:separator/>
      </w:r>
    </w:p>
  </w:endnote>
  <w:endnote w:type="continuationSeparator" w:id="0">
    <w:p w:rsidR="00130283" w:rsidRDefault="00130283" w:rsidP="00A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FC" w:rsidRDefault="0058155A" w:rsidP="007D1FC7">
    <w:pPr>
      <w:pStyle w:val="Footer"/>
      <w:pBdr>
        <w:top w:val="single" w:sz="4" w:space="1" w:color="auto"/>
      </w:pBdr>
    </w:pPr>
    <w:r>
      <w:rPr>
        <w:sz w:val="20"/>
        <w:szCs w:val="20"/>
      </w:rPr>
      <w:t>April</w:t>
    </w:r>
    <w:r w:rsidR="00B34CFC">
      <w:rPr>
        <w:sz w:val="20"/>
        <w:szCs w:val="20"/>
        <w:lang w:val="el-GR"/>
      </w:rPr>
      <w:t xml:space="preserve"> 2013</w:t>
    </w:r>
    <w:r w:rsidR="00B34CFC">
      <w:rPr>
        <w:sz w:val="20"/>
        <w:szCs w:val="20"/>
      </w:rPr>
      <w:t xml:space="preserve">     </w:t>
    </w:r>
    <w:r w:rsidR="00B34CFC">
      <w:rPr>
        <w:sz w:val="20"/>
        <w:szCs w:val="20"/>
        <w:lang w:val="el-GR"/>
      </w:rPr>
      <w:t xml:space="preserve"> </w:t>
    </w:r>
    <w:r w:rsidR="00B34CFC">
      <w:rPr>
        <w:sz w:val="20"/>
        <w:szCs w:val="20"/>
        <w:lang w:val="el-GR"/>
      </w:rPr>
      <w:tab/>
    </w:r>
    <w:r w:rsidR="00B34CFC">
      <w:rPr>
        <w:sz w:val="20"/>
        <w:szCs w:val="20"/>
        <w:lang w:val="el-GR"/>
      </w:rPr>
      <w:tab/>
    </w:r>
    <w:r w:rsidR="00B34CFC">
      <w:rPr>
        <w:sz w:val="20"/>
        <w:szCs w:val="20"/>
      </w:rPr>
      <w:t xml:space="preserve">                      </w:t>
    </w:r>
    <w:r>
      <w:rPr>
        <w:sz w:val="20"/>
        <w:szCs w:val="20"/>
      </w:rPr>
      <w:t>Page</w:t>
    </w:r>
    <w:r w:rsidR="00B34CFC" w:rsidRPr="00146484">
      <w:rPr>
        <w:sz w:val="20"/>
        <w:szCs w:val="20"/>
      </w:rPr>
      <w:t xml:space="preserve"> </w:t>
    </w:r>
    <w:r w:rsidR="00B34CFC" w:rsidRPr="00146484">
      <w:rPr>
        <w:b/>
        <w:bCs/>
        <w:sz w:val="20"/>
        <w:szCs w:val="20"/>
      </w:rPr>
      <w:fldChar w:fldCharType="begin"/>
    </w:r>
    <w:r w:rsidR="00B34CFC" w:rsidRPr="00146484">
      <w:rPr>
        <w:b/>
        <w:bCs/>
        <w:sz w:val="20"/>
        <w:szCs w:val="20"/>
      </w:rPr>
      <w:instrText xml:space="preserve"> PAGE </w:instrText>
    </w:r>
    <w:r w:rsidR="00B34CFC" w:rsidRPr="00146484">
      <w:rPr>
        <w:b/>
        <w:bCs/>
        <w:sz w:val="20"/>
        <w:szCs w:val="20"/>
      </w:rPr>
      <w:fldChar w:fldCharType="separate"/>
    </w:r>
    <w:r w:rsidR="00C9079F">
      <w:rPr>
        <w:b/>
        <w:bCs/>
        <w:noProof/>
        <w:sz w:val="20"/>
        <w:szCs w:val="20"/>
      </w:rPr>
      <w:t>1</w:t>
    </w:r>
    <w:r w:rsidR="00B34CFC" w:rsidRPr="00146484">
      <w:rPr>
        <w:b/>
        <w:bCs/>
        <w:sz w:val="20"/>
        <w:szCs w:val="20"/>
      </w:rPr>
      <w:fldChar w:fldCharType="end"/>
    </w:r>
    <w:r w:rsidR="00B34CFC">
      <w:rPr>
        <w:sz w:val="20"/>
        <w:szCs w:val="20"/>
      </w:rPr>
      <w:t xml:space="preserve"> </w:t>
    </w:r>
    <w:r>
      <w:rPr>
        <w:sz w:val="20"/>
        <w:szCs w:val="20"/>
      </w:rPr>
      <w:t>of</w:t>
    </w:r>
    <w:r w:rsidR="00B34CFC" w:rsidRPr="00146484">
      <w:rPr>
        <w:sz w:val="20"/>
        <w:szCs w:val="20"/>
      </w:rPr>
      <w:t xml:space="preserve"> </w:t>
    </w:r>
    <w:r w:rsidR="00B34CFC" w:rsidRPr="00146484">
      <w:rPr>
        <w:b/>
        <w:bCs/>
        <w:sz w:val="20"/>
        <w:szCs w:val="20"/>
      </w:rPr>
      <w:fldChar w:fldCharType="begin"/>
    </w:r>
    <w:r w:rsidR="00B34CFC" w:rsidRPr="00146484">
      <w:rPr>
        <w:b/>
        <w:bCs/>
        <w:sz w:val="20"/>
        <w:szCs w:val="20"/>
      </w:rPr>
      <w:instrText xml:space="preserve"> NUMPAGES  </w:instrText>
    </w:r>
    <w:r w:rsidR="00B34CFC" w:rsidRPr="00146484">
      <w:rPr>
        <w:b/>
        <w:bCs/>
        <w:sz w:val="20"/>
        <w:szCs w:val="20"/>
      </w:rPr>
      <w:fldChar w:fldCharType="separate"/>
    </w:r>
    <w:r w:rsidR="00C9079F">
      <w:rPr>
        <w:b/>
        <w:bCs/>
        <w:noProof/>
        <w:sz w:val="20"/>
        <w:szCs w:val="20"/>
      </w:rPr>
      <w:t>1</w:t>
    </w:r>
    <w:r w:rsidR="00B34CFC" w:rsidRPr="00146484">
      <w:rPr>
        <w:b/>
        <w:bCs/>
        <w:sz w:val="20"/>
        <w:szCs w:val="20"/>
      </w:rPr>
      <w:fldChar w:fldCharType="end"/>
    </w:r>
  </w:p>
  <w:p w:rsidR="00B34CFC" w:rsidRDefault="00B34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83" w:rsidRDefault="00130283" w:rsidP="00AE70CC">
      <w:pPr>
        <w:spacing w:after="0" w:line="240" w:lineRule="auto"/>
      </w:pPr>
      <w:r>
        <w:separator/>
      </w:r>
    </w:p>
  </w:footnote>
  <w:footnote w:type="continuationSeparator" w:id="0">
    <w:p w:rsidR="00130283" w:rsidRDefault="00130283" w:rsidP="00A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FC" w:rsidRPr="00FC4C2D" w:rsidRDefault="00B34CFC" w:rsidP="003115DA">
    <w:pPr>
      <w:pStyle w:val="Header"/>
      <w:rPr>
        <w:sz w:val="20"/>
        <w:szCs w:val="20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2F1F1E6C" wp14:editId="57DEE063">
          <wp:simplePos x="0" y="0"/>
          <wp:positionH relativeFrom="column">
            <wp:posOffset>-379730</wp:posOffset>
          </wp:positionH>
          <wp:positionV relativeFrom="paragraph">
            <wp:posOffset>-163830</wp:posOffset>
          </wp:positionV>
          <wp:extent cx="690880" cy="957580"/>
          <wp:effectExtent l="0" t="0" r="0" b="0"/>
          <wp:wrapSquare wrapText="bothSides"/>
          <wp:docPr id="4" name="Picture 4" descr="ATHEX Logo GR Color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HEX Logo GR Color 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AA33739" wp14:editId="228A573B">
          <wp:simplePos x="0" y="0"/>
          <wp:positionH relativeFrom="column">
            <wp:posOffset>3363595</wp:posOffset>
          </wp:positionH>
          <wp:positionV relativeFrom="paragraph">
            <wp:posOffset>-161925</wp:posOffset>
          </wp:positionV>
          <wp:extent cx="2944495" cy="820420"/>
          <wp:effectExtent l="0" t="0" r="8255" b="0"/>
          <wp:wrapSquare wrapText="bothSides"/>
          <wp:docPr id="3" name="Picture 3" descr="D:\Project Indices\201211 - New NBG Index\Logo (G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Project Indices\201211 - New NBG Index\Logo (GR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A6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0E9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00A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C4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7A96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922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749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2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6E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A2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C2CE4"/>
    <w:multiLevelType w:val="hybridMultilevel"/>
    <w:tmpl w:val="DE10A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B3CC2"/>
    <w:multiLevelType w:val="hybridMultilevel"/>
    <w:tmpl w:val="3D2406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D1C15"/>
    <w:multiLevelType w:val="hybridMultilevel"/>
    <w:tmpl w:val="1EE2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E2A57"/>
    <w:multiLevelType w:val="hybridMultilevel"/>
    <w:tmpl w:val="24B0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C1665"/>
    <w:multiLevelType w:val="hybridMultilevel"/>
    <w:tmpl w:val="AEA2EB46"/>
    <w:lvl w:ilvl="0" w:tplc="70CEF39C">
      <w:start w:val="1"/>
      <w:numFmt w:val="bullet"/>
      <w:pStyle w:val="ListBulleti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148CC444">
      <w:start w:val="1"/>
      <w:numFmt w:val="bullet"/>
      <w:lvlText w:val="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2A2E7A"/>
    <w:multiLevelType w:val="hybridMultilevel"/>
    <w:tmpl w:val="7C4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604A9"/>
    <w:multiLevelType w:val="hybridMultilevel"/>
    <w:tmpl w:val="E11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A342A"/>
    <w:multiLevelType w:val="hybridMultilevel"/>
    <w:tmpl w:val="D18EB49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66465267"/>
    <w:multiLevelType w:val="hybridMultilevel"/>
    <w:tmpl w:val="D68EA17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73FEF"/>
    <w:multiLevelType w:val="hybridMultilevel"/>
    <w:tmpl w:val="D12E58D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F3"/>
    <w:multiLevelType w:val="hybridMultilevel"/>
    <w:tmpl w:val="6FA4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B7E6A"/>
    <w:multiLevelType w:val="hybridMultilevel"/>
    <w:tmpl w:val="F11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20"/>
  </w:num>
  <w:num w:numId="20">
    <w:abstractNumId w:val="15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9"/>
    <w:rsid w:val="000150D1"/>
    <w:rsid w:val="00026568"/>
    <w:rsid w:val="00035D65"/>
    <w:rsid w:val="00037563"/>
    <w:rsid w:val="000442A7"/>
    <w:rsid w:val="00045111"/>
    <w:rsid w:val="00055075"/>
    <w:rsid w:val="00066408"/>
    <w:rsid w:val="000878B6"/>
    <w:rsid w:val="000C3636"/>
    <w:rsid w:val="00130283"/>
    <w:rsid w:val="001449B1"/>
    <w:rsid w:val="00146484"/>
    <w:rsid w:val="00157529"/>
    <w:rsid w:val="001674DD"/>
    <w:rsid w:val="001702E9"/>
    <w:rsid w:val="00175DAA"/>
    <w:rsid w:val="002027D0"/>
    <w:rsid w:val="00205721"/>
    <w:rsid w:val="0021756F"/>
    <w:rsid w:val="002400B9"/>
    <w:rsid w:val="00240E68"/>
    <w:rsid w:val="00242C08"/>
    <w:rsid w:val="00256551"/>
    <w:rsid w:val="00257CB6"/>
    <w:rsid w:val="002777F5"/>
    <w:rsid w:val="002C2E35"/>
    <w:rsid w:val="002D170C"/>
    <w:rsid w:val="002E7415"/>
    <w:rsid w:val="003034AB"/>
    <w:rsid w:val="00310D4D"/>
    <w:rsid w:val="003115DA"/>
    <w:rsid w:val="003211E7"/>
    <w:rsid w:val="0033569C"/>
    <w:rsid w:val="00366AB3"/>
    <w:rsid w:val="003C075C"/>
    <w:rsid w:val="003C2939"/>
    <w:rsid w:val="003F785E"/>
    <w:rsid w:val="00414D7A"/>
    <w:rsid w:val="004871DD"/>
    <w:rsid w:val="004C3C62"/>
    <w:rsid w:val="004D45D6"/>
    <w:rsid w:val="004D7696"/>
    <w:rsid w:val="00502E4D"/>
    <w:rsid w:val="00532351"/>
    <w:rsid w:val="00533ED7"/>
    <w:rsid w:val="0053551F"/>
    <w:rsid w:val="00541B07"/>
    <w:rsid w:val="00562252"/>
    <w:rsid w:val="0058040B"/>
    <w:rsid w:val="0058155A"/>
    <w:rsid w:val="005C0EB7"/>
    <w:rsid w:val="005D3FB5"/>
    <w:rsid w:val="005D6C0E"/>
    <w:rsid w:val="005E5B2B"/>
    <w:rsid w:val="00616B60"/>
    <w:rsid w:val="00622BC2"/>
    <w:rsid w:val="00625C98"/>
    <w:rsid w:val="006564EE"/>
    <w:rsid w:val="00661814"/>
    <w:rsid w:val="006858D9"/>
    <w:rsid w:val="006877E8"/>
    <w:rsid w:val="006D0EE5"/>
    <w:rsid w:val="006D217C"/>
    <w:rsid w:val="006E7582"/>
    <w:rsid w:val="006E75A4"/>
    <w:rsid w:val="006F258C"/>
    <w:rsid w:val="00714683"/>
    <w:rsid w:val="00731B90"/>
    <w:rsid w:val="00732000"/>
    <w:rsid w:val="00745125"/>
    <w:rsid w:val="00775219"/>
    <w:rsid w:val="0078755C"/>
    <w:rsid w:val="007D1FC7"/>
    <w:rsid w:val="008162B0"/>
    <w:rsid w:val="008239AC"/>
    <w:rsid w:val="0084579A"/>
    <w:rsid w:val="00870B17"/>
    <w:rsid w:val="00882A3D"/>
    <w:rsid w:val="00896A2A"/>
    <w:rsid w:val="008A7A02"/>
    <w:rsid w:val="008B165B"/>
    <w:rsid w:val="008C4589"/>
    <w:rsid w:val="008D0DC7"/>
    <w:rsid w:val="00912185"/>
    <w:rsid w:val="009379DC"/>
    <w:rsid w:val="009953C7"/>
    <w:rsid w:val="00997691"/>
    <w:rsid w:val="009A77B1"/>
    <w:rsid w:val="009D4C07"/>
    <w:rsid w:val="00A06684"/>
    <w:rsid w:val="00A30BD2"/>
    <w:rsid w:val="00A4139E"/>
    <w:rsid w:val="00A41778"/>
    <w:rsid w:val="00A76F76"/>
    <w:rsid w:val="00A8081F"/>
    <w:rsid w:val="00A840C4"/>
    <w:rsid w:val="00A90B26"/>
    <w:rsid w:val="00AA2C65"/>
    <w:rsid w:val="00AA3D37"/>
    <w:rsid w:val="00AE1316"/>
    <w:rsid w:val="00AE70CC"/>
    <w:rsid w:val="00B26093"/>
    <w:rsid w:val="00B310EC"/>
    <w:rsid w:val="00B34CFC"/>
    <w:rsid w:val="00B46E37"/>
    <w:rsid w:val="00B531F5"/>
    <w:rsid w:val="00B55600"/>
    <w:rsid w:val="00B8724B"/>
    <w:rsid w:val="00BA10B8"/>
    <w:rsid w:val="00BB02D0"/>
    <w:rsid w:val="00BB3E0D"/>
    <w:rsid w:val="00BB3E6D"/>
    <w:rsid w:val="00BD4900"/>
    <w:rsid w:val="00BE6EC1"/>
    <w:rsid w:val="00BF12E0"/>
    <w:rsid w:val="00C4378F"/>
    <w:rsid w:val="00C56AA1"/>
    <w:rsid w:val="00C82B99"/>
    <w:rsid w:val="00C903FE"/>
    <w:rsid w:val="00C9079F"/>
    <w:rsid w:val="00C920CD"/>
    <w:rsid w:val="00CD33F4"/>
    <w:rsid w:val="00CF0C00"/>
    <w:rsid w:val="00CF5E3C"/>
    <w:rsid w:val="00D136B0"/>
    <w:rsid w:val="00D43B6A"/>
    <w:rsid w:val="00D475F3"/>
    <w:rsid w:val="00D70F27"/>
    <w:rsid w:val="00DA2F73"/>
    <w:rsid w:val="00DB68D9"/>
    <w:rsid w:val="00DC5D84"/>
    <w:rsid w:val="00DE3D80"/>
    <w:rsid w:val="00E07B6C"/>
    <w:rsid w:val="00E21D0E"/>
    <w:rsid w:val="00E34FC6"/>
    <w:rsid w:val="00E40A48"/>
    <w:rsid w:val="00E50CC7"/>
    <w:rsid w:val="00E558D1"/>
    <w:rsid w:val="00E5620C"/>
    <w:rsid w:val="00E64A0B"/>
    <w:rsid w:val="00EA6D94"/>
    <w:rsid w:val="00EF1EFF"/>
    <w:rsid w:val="00F01369"/>
    <w:rsid w:val="00F06491"/>
    <w:rsid w:val="00F077B8"/>
    <w:rsid w:val="00F2066F"/>
    <w:rsid w:val="00F22968"/>
    <w:rsid w:val="00F30EF8"/>
    <w:rsid w:val="00F363C4"/>
    <w:rsid w:val="00F71A6D"/>
    <w:rsid w:val="00F8709C"/>
    <w:rsid w:val="00FA47CA"/>
    <w:rsid w:val="00FB1F56"/>
    <w:rsid w:val="00FC4C2D"/>
    <w:rsid w:val="00FE2996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3115DA"/>
  </w:style>
  <w:style w:type="character" w:styleId="Hyperlink">
    <w:name w:val="Hyperlink"/>
    <w:basedOn w:val="DefaultParagraphFont"/>
    <w:uiPriority w:val="99"/>
    <w:unhideWhenUsed/>
    <w:rsid w:val="00622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3115DA"/>
  </w:style>
  <w:style w:type="character" w:styleId="Hyperlink">
    <w:name w:val="Hyperlink"/>
    <w:basedOn w:val="DefaultParagraphFont"/>
    <w:uiPriority w:val="99"/>
    <w:unhideWhenUsed/>
    <w:rsid w:val="00622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bgam.gr/scripts/gr/inde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thex.g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12D5-EB12-4A1A-95B7-4C5D3506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- Liquidity Criterion</vt:lpstr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- Liquidity Criterion</dc:title>
  <dc:creator>C-Poul</dc:creator>
  <cp:lastModifiedBy>C-Poul</cp:lastModifiedBy>
  <cp:revision>6</cp:revision>
  <cp:lastPrinted>2012-10-12T10:25:00Z</cp:lastPrinted>
  <dcterms:created xsi:type="dcterms:W3CDTF">2013-04-05T10:10:00Z</dcterms:created>
  <dcterms:modified xsi:type="dcterms:W3CDTF">2013-04-25T13:08:00Z</dcterms:modified>
</cp:coreProperties>
</file>