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529" w:rsidRPr="00FB6D38" w:rsidRDefault="00157529" w:rsidP="00157529">
      <w:pPr>
        <w:jc w:val="right"/>
        <w:rPr>
          <w:rFonts w:ascii="Verdana" w:hAnsi="Verdana"/>
          <w:b/>
          <w:sz w:val="24"/>
          <w:szCs w:val="24"/>
        </w:rPr>
      </w:pPr>
      <w:r w:rsidRPr="00FB6D38">
        <w:rPr>
          <w:rFonts w:ascii="Verdana" w:hAnsi="Verdana"/>
          <w:b/>
          <w:sz w:val="24"/>
          <w:szCs w:val="24"/>
        </w:rPr>
        <w:t xml:space="preserve">October </w:t>
      </w:r>
      <w:r w:rsidR="002E0EE3">
        <w:rPr>
          <w:rFonts w:ascii="Verdana" w:hAnsi="Verdana"/>
          <w:b/>
          <w:sz w:val="24"/>
          <w:szCs w:val="24"/>
        </w:rPr>
        <w:t>25</w:t>
      </w:r>
      <w:r w:rsidRPr="00FB6D38">
        <w:rPr>
          <w:rFonts w:ascii="Verdana" w:hAnsi="Verdana"/>
          <w:b/>
          <w:sz w:val="24"/>
          <w:szCs w:val="24"/>
        </w:rPr>
        <w:t>, 2012</w:t>
      </w:r>
    </w:p>
    <w:p w:rsidR="00AE1316" w:rsidRPr="00FB6D38" w:rsidRDefault="00AE1316" w:rsidP="00157529">
      <w:pPr>
        <w:jc w:val="right"/>
        <w:rPr>
          <w:rFonts w:ascii="Verdana" w:hAnsi="Verdana"/>
          <w:b/>
          <w:sz w:val="24"/>
          <w:szCs w:val="24"/>
        </w:rPr>
      </w:pPr>
    </w:p>
    <w:p w:rsidR="002E0EE3" w:rsidRDefault="002E0EE3" w:rsidP="008D0DC7">
      <w:pPr>
        <w:jc w:val="center"/>
        <w:rPr>
          <w:rFonts w:ascii="Verdana" w:hAnsi="Verdana"/>
          <w:b/>
          <w:color w:val="0070C0"/>
          <w:sz w:val="28"/>
          <w:szCs w:val="28"/>
        </w:rPr>
      </w:pPr>
      <w:r w:rsidRPr="002E0EE3">
        <w:rPr>
          <w:rFonts w:ascii="Verdana" w:hAnsi="Verdana"/>
          <w:b/>
          <w:color w:val="0070C0"/>
          <w:sz w:val="28"/>
          <w:szCs w:val="28"/>
        </w:rPr>
        <w:t xml:space="preserve">FTSE/ATHEX Global Traders Index Series </w:t>
      </w:r>
    </w:p>
    <w:p w:rsidR="00F2066F" w:rsidRPr="00FB6D38" w:rsidRDefault="004871DD" w:rsidP="008D0DC7">
      <w:pPr>
        <w:jc w:val="center"/>
        <w:rPr>
          <w:rFonts w:ascii="Verdana" w:hAnsi="Verdana"/>
          <w:b/>
          <w:color w:val="0070C0"/>
          <w:sz w:val="28"/>
          <w:szCs w:val="28"/>
        </w:rPr>
      </w:pPr>
      <w:r w:rsidRPr="00FB6D38">
        <w:rPr>
          <w:rFonts w:ascii="Verdana" w:hAnsi="Verdana"/>
          <w:b/>
          <w:color w:val="0070C0"/>
          <w:sz w:val="28"/>
          <w:szCs w:val="28"/>
        </w:rPr>
        <w:t>New Indices creation</w:t>
      </w:r>
    </w:p>
    <w:p w:rsidR="003C075C" w:rsidRPr="00FB6D38" w:rsidRDefault="003C075C" w:rsidP="004871DD">
      <w:pPr>
        <w:pStyle w:val="ListBulleting"/>
        <w:numPr>
          <w:ilvl w:val="0"/>
          <w:numId w:val="0"/>
        </w:numPr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 w:rsidRPr="00FB6D38">
        <w:rPr>
          <w:rFonts w:ascii="Verdana" w:hAnsi="Verdana" w:cstheme="minorHAnsi"/>
          <w:sz w:val="20"/>
          <w:szCs w:val="20"/>
        </w:rPr>
        <w:t>ATHEX in cooperation with FTSE</w:t>
      </w:r>
      <w:r w:rsidR="006E7582" w:rsidRPr="00FB6D38">
        <w:rPr>
          <w:rFonts w:ascii="Verdana" w:hAnsi="Verdana" w:cstheme="minorHAnsi"/>
          <w:sz w:val="20"/>
          <w:szCs w:val="20"/>
        </w:rPr>
        <w:t>,</w:t>
      </w:r>
      <w:r w:rsidRPr="00FB6D38">
        <w:rPr>
          <w:rFonts w:ascii="Verdana" w:hAnsi="Verdana" w:cstheme="minorHAnsi"/>
          <w:sz w:val="20"/>
          <w:szCs w:val="20"/>
        </w:rPr>
        <w:t xml:space="preserve"> design</w:t>
      </w:r>
      <w:r w:rsidR="006E7582" w:rsidRPr="00FB6D38">
        <w:rPr>
          <w:rFonts w:ascii="Verdana" w:hAnsi="Verdana" w:cstheme="minorHAnsi"/>
          <w:sz w:val="20"/>
          <w:szCs w:val="20"/>
        </w:rPr>
        <w:t>ed</w:t>
      </w:r>
      <w:r w:rsidRPr="00FB6D38">
        <w:rPr>
          <w:rFonts w:ascii="Verdana" w:hAnsi="Verdana" w:cstheme="minorHAnsi"/>
          <w:sz w:val="20"/>
          <w:szCs w:val="20"/>
        </w:rPr>
        <w:t xml:space="preserve"> a new index se</w:t>
      </w:r>
      <w:r w:rsidR="00095D18">
        <w:rPr>
          <w:rFonts w:ascii="Verdana" w:hAnsi="Verdana" w:cstheme="minorHAnsi"/>
          <w:sz w:val="20"/>
          <w:szCs w:val="20"/>
        </w:rPr>
        <w:t xml:space="preserve">ries </w:t>
      </w:r>
      <w:r w:rsidR="00A91F93">
        <w:rPr>
          <w:rFonts w:ascii="Verdana" w:hAnsi="Verdana" w:cstheme="minorHAnsi"/>
          <w:sz w:val="20"/>
          <w:szCs w:val="20"/>
          <w:lang w:val="en-US"/>
        </w:rPr>
        <w:t>to enable the</w:t>
      </w:r>
      <w:r w:rsidRPr="00FB6D38">
        <w:rPr>
          <w:rFonts w:ascii="Verdana" w:hAnsi="Verdana" w:cstheme="minorHAnsi"/>
          <w:sz w:val="20"/>
          <w:szCs w:val="20"/>
        </w:rPr>
        <w:t xml:space="preserve"> </w:t>
      </w:r>
      <w:r w:rsidR="00095D18">
        <w:rPr>
          <w:rFonts w:ascii="Verdana" w:hAnsi="Verdana" w:cstheme="minorHAnsi"/>
          <w:sz w:val="20"/>
          <w:szCs w:val="20"/>
        </w:rPr>
        <w:t>monitor</w:t>
      </w:r>
      <w:r w:rsidR="00A962EB">
        <w:rPr>
          <w:rFonts w:ascii="Verdana" w:hAnsi="Verdana" w:cstheme="minorHAnsi"/>
          <w:sz w:val="20"/>
          <w:szCs w:val="20"/>
        </w:rPr>
        <w:t>ing</w:t>
      </w:r>
      <w:r w:rsidR="00095D18">
        <w:rPr>
          <w:rFonts w:ascii="Verdana" w:hAnsi="Verdana" w:cstheme="minorHAnsi"/>
          <w:sz w:val="20"/>
          <w:szCs w:val="20"/>
        </w:rPr>
        <w:t xml:space="preserve"> </w:t>
      </w:r>
      <w:r w:rsidR="00A91F93">
        <w:rPr>
          <w:rFonts w:ascii="Verdana" w:hAnsi="Verdana" w:cstheme="minorHAnsi"/>
          <w:sz w:val="20"/>
          <w:szCs w:val="20"/>
        </w:rPr>
        <w:t xml:space="preserve">of </w:t>
      </w:r>
      <w:r w:rsidRPr="00FB6D38">
        <w:rPr>
          <w:rFonts w:ascii="Verdana" w:hAnsi="Verdana" w:cstheme="minorHAnsi"/>
          <w:sz w:val="20"/>
          <w:szCs w:val="20"/>
        </w:rPr>
        <w:t xml:space="preserve">the </w:t>
      </w:r>
      <w:r w:rsidR="00A962EB">
        <w:rPr>
          <w:rFonts w:ascii="Verdana" w:hAnsi="Verdana" w:cstheme="minorHAnsi"/>
          <w:sz w:val="20"/>
          <w:szCs w:val="20"/>
        </w:rPr>
        <w:t xml:space="preserve">market </w:t>
      </w:r>
      <w:r w:rsidRPr="00FB6D38">
        <w:rPr>
          <w:rFonts w:ascii="Verdana" w:hAnsi="Verdana" w:cstheme="minorHAnsi"/>
          <w:sz w:val="20"/>
          <w:szCs w:val="20"/>
        </w:rPr>
        <w:t>performance of the</w:t>
      </w:r>
      <w:r w:rsidR="00A91F93">
        <w:rPr>
          <w:rFonts w:ascii="Verdana" w:hAnsi="Verdana" w:cstheme="minorHAnsi"/>
          <w:sz w:val="20"/>
          <w:szCs w:val="20"/>
        </w:rPr>
        <w:t xml:space="preserve"> </w:t>
      </w:r>
      <w:r w:rsidR="00A91F93" w:rsidRPr="00FB6D38">
        <w:rPr>
          <w:rFonts w:ascii="Verdana" w:hAnsi="Verdana" w:cstheme="minorHAnsi"/>
          <w:sz w:val="20"/>
          <w:szCs w:val="20"/>
        </w:rPr>
        <w:t xml:space="preserve">listed companies that have highly </w:t>
      </w:r>
      <w:r w:rsidR="00A91F93">
        <w:rPr>
          <w:rFonts w:ascii="Verdana" w:hAnsi="Verdana" w:cstheme="minorHAnsi"/>
          <w:sz w:val="20"/>
          <w:szCs w:val="20"/>
        </w:rPr>
        <w:t>globalised</w:t>
      </w:r>
      <w:r w:rsidR="00A91F93" w:rsidRPr="00FB6D38">
        <w:rPr>
          <w:rFonts w:ascii="Verdana" w:hAnsi="Verdana" w:cstheme="minorHAnsi"/>
          <w:sz w:val="20"/>
          <w:szCs w:val="20"/>
        </w:rPr>
        <w:t xml:space="preserve"> activity</w:t>
      </w:r>
      <w:r w:rsidR="00A91F93">
        <w:rPr>
          <w:rFonts w:ascii="Verdana" w:hAnsi="Verdana" w:cstheme="minorHAnsi"/>
          <w:sz w:val="20"/>
          <w:szCs w:val="20"/>
        </w:rPr>
        <w:t xml:space="preserve"> either in exports or through production abroad.</w:t>
      </w:r>
      <w:r w:rsidR="00A91F93" w:rsidRPr="00FB6D38">
        <w:rPr>
          <w:rFonts w:ascii="Verdana" w:hAnsi="Verdana" w:cstheme="minorHAnsi"/>
          <w:sz w:val="20"/>
          <w:szCs w:val="20"/>
        </w:rPr>
        <w:t xml:space="preserve"> </w:t>
      </w:r>
      <w:r w:rsidR="00A962EB">
        <w:rPr>
          <w:rFonts w:ascii="Verdana" w:hAnsi="Verdana" w:cstheme="minorHAnsi"/>
          <w:sz w:val="20"/>
          <w:szCs w:val="20"/>
        </w:rPr>
        <w:t xml:space="preserve">These indices record and highlight in the globalized </w:t>
      </w:r>
      <w:r w:rsidR="00A65A34">
        <w:rPr>
          <w:rFonts w:ascii="Verdana" w:hAnsi="Verdana" w:cstheme="minorHAnsi"/>
          <w:sz w:val="20"/>
          <w:szCs w:val="20"/>
        </w:rPr>
        <w:t xml:space="preserve">investment community the extrovert character of the Greek companies which </w:t>
      </w:r>
      <w:r w:rsidR="00A91F93">
        <w:rPr>
          <w:rFonts w:ascii="Verdana" w:hAnsi="Verdana" w:cstheme="minorHAnsi"/>
          <w:sz w:val="20"/>
          <w:szCs w:val="20"/>
        </w:rPr>
        <w:t>is constantly improved</w:t>
      </w:r>
      <w:r w:rsidR="00A65A34">
        <w:rPr>
          <w:rFonts w:ascii="Verdana" w:hAnsi="Verdana" w:cstheme="minorHAnsi"/>
          <w:sz w:val="20"/>
          <w:szCs w:val="20"/>
        </w:rPr>
        <w:t xml:space="preserve">. </w:t>
      </w:r>
    </w:p>
    <w:p w:rsidR="00A962EB" w:rsidRDefault="00A962EB" w:rsidP="004871DD">
      <w:pPr>
        <w:pStyle w:val="ListBulleting"/>
        <w:numPr>
          <w:ilvl w:val="0"/>
          <w:numId w:val="0"/>
        </w:numPr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A962EB" w:rsidRDefault="00750519" w:rsidP="004871DD">
      <w:pPr>
        <w:pStyle w:val="ListBulleting"/>
        <w:numPr>
          <w:ilvl w:val="0"/>
          <w:numId w:val="0"/>
        </w:numPr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T</w:t>
      </w:r>
      <w:r w:rsidR="00095D18">
        <w:rPr>
          <w:rFonts w:ascii="Verdana" w:hAnsi="Verdana" w:cstheme="minorHAnsi"/>
          <w:sz w:val="20"/>
          <w:szCs w:val="20"/>
        </w:rPr>
        <w:t xml:space="preserve">he </w:t>
      </w:r>
      <w:r w:rsidR="003C075C" w:rsidRPr="00FB6D38">
        <w:rPr>
          <w:rFonts w:ascii="Verdana" w:hAnsi="Verdana" w:cstheme="minorHAnsi"/>
          <w:sz w:val="20"/>
          <w:szCs w:val="20"/>
        </w:rPr>
        <w:t xml:space="preserve">creation of the new index series </w:t>
      </w:r>
      <w:r w:rsidR="00095D18">
        <w:rPr>
          <w:rFonts w:ascii="Verdana" w:hAnsi="Verdana" w:cstheme="minorHAnsi"/>
          <w:sz w:val="20"/>
          <w:szCs w:val="20"/>
        </w:rPr>
        <w:t>intend</w:t>
      </w:r>
      <w:r w:rsidR="003C075C" w:rsidRPr="00FB6D38">
        <w:rPr>
          <w:rFonts w:ascii="Verdana" w:hAnsi="Verdana" w:cstheme="minorHAnsi"/>
          <w:sz w:val="20"/>
          <w:szCs w:val="20"/>
        </w:rPr>
        <w:t xml:space="preserve">s to </w:t>
      </w:r>
      <w:r w:rsidR="00A91F93">
        <w:rPr>
          <w:rFonts w:ascii="Verdana" w:hAnsi="Verdana" w:cstheme="minorHAnsi"/>
          <w:sz w:val="20"/>
          <w:szCs w:val="20"/>
        </w:rPr>
        <w:t>establish</w:t>
      </w:r>
      <w:r>
        <w:rPr>
          <w:rFonts w:ascii="Verdana" w:hAnsi="Verdana" w:cstheme="minorHAnsi"/>
          <w:sz w:val="20"/>
          <w:szCs w:val="20"/>
        </w:rPr>
        <w:t xml:space="preserve"> a new </w:t>
      </w:r>
      <w:r w:rsidR="00A91F93">
        <w:rPr>
          <w:rFonts w:ascii="Verdana" w:hAnsi="Verdana" w:cstheme="minorHAnsi"/>
          <w:sz w:val="20"/>
          <w:szCs w:val="20"/>
        </w:rPr>
        <w:t>approach</w:t>
      </w:r>
      <w:r>
        <w:rPr>
          <w:rFonts w:ascii="Verdana" w:hAnsi="Verdana" w:cstheme="minorHAnsi"/>
          <w:sz w:val="20"/>
          <w:szCs w:val="20"/>
        </w:rPr>
        <w:t xml:space="preserve"> in </w:t>
      </w:r>
      <w:r w:rsidR="00A91F93">
        <w:rPr>
          <w:rFonts w:ascii="Verdana" w:hAnsi="Verdana" w:cstheme="minorHAnsi"/>
          <w:sz w:val="20"/>
          <w:szCs w:val="20"/>
        </w:rPr>
        <w:t>gaining</w:t>
      </w:r>
      <w:r>
        <w:rPr>
          <w:rFonts w:ascii="Verdana" w:hAnsi="Verdana" w:cstheme="minorHAnsi"/>
          <w:sz w:val="20"/>
          <w:szCs w:val="20"/>
        </w:rPr>
        <w:t xml:space="preserve"> international attention and generating</w:t>
      </w:r>
      <w:r w:rsidR="003C075C" w:rsidRPr="00FB6D38">
        <w:rPr>
          <w:rFonts w:ascii="Verdana" w:hAnsi="Verdana" w:cstheme="minorHAnsi"/>
          <w:sz w:val="20"/>
          <w:szCs w:val="20"/>
        </w:rPr>
        <w:t xml:space="preserve"> investment products</w:t>
      </w:r>
      <w:r w:rsidR="00A65A34">
        <w:rPr>
          <w:rFonts w:ascii="Verdana" w:hAnsi="Verdana" w:cstheme="minorHAnsi"/>
          <w:sz w:val="20"/>
          <w:szCs w:val="20"/>
        </w:rPr>
        <w:t>.</w:t>
      </w:r>
    </w:p>
    <w:p w:rsidR="003C075C" w:rsidRPr="00FB6D38" w:rsidRDefault="003C075C" w:rsidP="004871DD">
      <w:pPr>
        <w:pStyle w:val="ListBulleting"/>
        <w:numPr>
          <w:ilvl w:val="0"/>
          <w:numId w:val="0"/>
        </w:numPr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6E75A4" w:rsidRPr="00FB6D38" w:rsidRDefault="006E75A4" w:rsidP="004871DD">
      <w:pPr>
        <w:pStyle w:val="ListBulleting"/>
        <w:numPr>
          <w:ilvl w:val="0"/>
          <w:numId w:val="0"/>
        </w:numPr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 w:rsidRPr="00FB6D38">
        <w:rPr>
          <w:rFonts w:ascii="Verdana" w:hAnsi="Verdana" w:cstheme="minorHAnsi"/>
          <w:sz w:val="20"/>
          <w:szCs w:val="20"/>
        </w:rPr>
        <w:t>Stocks</w:t>
      </w:r>
      <w:r w:rsidR="0041189A">
        <w:rPr>
          <w:rFonts w:ascii="Verdana" w:hAnsi="Verdana" w:cstheme="minorHAnsi"/>
          <w:sz w:val="20"/>
          <w:szCs w:val="20"/>
        </w:rPr>
        <w:t>’</w:t>
      </w:r>
      <w:r w:rsidRPr="00FB6D38">
        <w:rPr>
          <w:rFonts w:ascii="Verdana" w:hAnsi="Verdana" w:cstheme="minorHAnsi"/>
          <w:sz w:val="20"/>
          <w:szCs w:val="20"/>
        </w:rPr>
        <w:t xml:space="preserve"> selection </w:t>
      </w:r>
      <w:r w:rsidR="00A91F93">
        <w:rPr>
          <w:rFonts w:ascii="Verdana" w:hAnsi="Verdana" w:cstheme="minorHAnsi"/>
          <w:sz w:val="20"/>
          <w:szCs w:val="20"/>
        </w:rPr>
        <w:t>is</w:t>
      </w:r>
      <w:r w:rsidRPr="00FB6D38">
        <w:rPr>
          <w:rFonts w:ascii="Verdana" w:hAnsi="Verdana" w:cstheme="minorHAnsi"/>
          <w:sz w:val="20"/>
          <w:szCs w:val="20"/>
        </w:rPr>
        <w:t xml:space="preserve"> based on the percentage of their total revenues deriving from activities abroad</w:t>
      </w:r>
      <w:r w:rsidR="00750519">
        <w:rPr>
          <w:rFonts w:ascii="Verdana" w:hAnsi="Verdana" w:cstheme="minorHAnsi"/>
          <w:sz w:val="20"/>
          <w:szCs w:val="20"/>
        </w:rPr>
        <w:t xml:space="preserve">, </w:t>
      </w:r>
      <w:r w:rsidR="00A91F93">
        <w:rPr>
          <w:rFonts w:ascii="Verdana" w:hAnsi="Verdana" w:cstheme="minorHAnsi"/>
          <w:sz w:val="20"/>
          <w:szCs w:val="20"/>
        </w:rPr>
        <w:t xml:space="preserve">either </w:t>
      </w:r>
      <w:r w:rsidR="00750519">
        <w:rPr>
          <w:rFonts w:ascii="Verdana" w:hAnsi="Verdana" w:cstheme="minorHAnsi"/>
          <w:sz w:val="20"/>
          <w:szCs w:val="20"/>
        </w:rPr>
        <w:t>export or production</w:t>
      </w:r>
      <w:r w:rsidRPr="00FB6D38">
        <w:rPr>
          <w:rFonts w:ascii="Verdana" w:hAnsi="Verdana" w:cstheme="minorHAnsi"/>
          <w:sz w:val="20"/>
          <w:szCs w:val="20"/>
        </w:rPr>
        <w:t>.</w:t>
      </w:r>
    </w:p>
    <w:p w:rsidR="00A962EB" w:rsidRDefault="00A962EB" w:rsidP="004871DD">
      <w:pPr>
        <w:pStyle w:val="ListBulleting"/>
        <w:numPr>
          <w:ilvl w:val="0"/>
          <w:numId w:val="0"/>
        </w:numPr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3C075C" w:rsidRPr="00FB6D38" w:rsidRDefault="003C075C" w:rsidP="004871DD">
      <w:pPr>
        <w:pStyle w:val="ListBulleting"/>
        <w:numPr>
          <w:ilvl w:val="0"/>
          <w:numId w:val="0"/>
        </w:numPr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 w:rsidRPr="00FB6D38">
        <w:rPr>
          <w:rFonts w:ascii="Verdana" w:hAnsi="Verdana" w:cstheme="minorHAnsi"/>
          <w:sz w:val="20"/>
          <w:szCs w:val="20"/>
        </w:rPr>
        <w:t>T</w:t>
      </w:r>
      <w:r w:rsidRPr="00FB6D38">
        <w:rPr>
          <w:rFonts w:ascii="Verdana" w:hAnsi="Verdana" w:cstheme="minorHAnsi"/>
          <w:sz w:val="20"/>
          <w:szCs w:val="20"/>
          <w:lang w:val="en-US"/>
        </w:rPr>
        <w:t xml:space="preserve">he </w:t>
      </w:r>
      <w:r w:rsidRPr="00FB6D38">
        <w:rPr>
          <w:rFonts w:ascii="Verdana" w:hAnsi="Verdana" w:cstheme="minorHAnsi"/>
          <w:sz w:val="20"/>
          <w:szCs w:val="20"/>
        </w:rPr>
        <w:t xml:space="preserve">FTSE/ATHEX Global Traders Index Series </w:t>
      </w:r>
      <w:r w:rsidR="00A91F93">
        <w:rPr>
          <w:rFonts w:ascii="Verdana" w:hAnsi="Verdana" w:cstheme="minorHAnsi"/>
          <w:sz w:val="20"/>
          <w:szCs w:val="20"/>
        </w:rPr>
        <w:t>include</w:t>
      </w:r>
      <w:r w:rsidRPr="00FB6D38">
        <w:rPr>
          <w:rFonts w:ascii="Verdana" w:hAnsi="Verdana" w:cstheme="minorHAnsi"/>
          <w:sz w:val="20"/>
          <w:szCs w:val="20"/>
        </w:rPr>
        <w:t xml:space="preserve">: </w:t>
      </w:r>
    </w:p>
    <w:p w:rsidR="00DB478E" w:rsidRPr="00FB6D38" w:rsidRDefault="00DB478E" w:rsidP="00DB478E">
      <w:pPr>
        <w:pStyle w:val="ListBulleting"/>
        <w:numPr>
          <w:ilvl w:val="0"/>
          <w:numId w:val="20"/>
        </w:numPr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 w:rsidRPr="00FB6D38">
        <w:rPr>
          <w:rFonts w:ascii="Verdana" w:hAnsi="Verdana" w:cstheme="minorHAnsi"/>
          <w:b/>
          <w:sz w:val="20"/>
          <w:szCs w:val="20"/>
        </w:rPr>
        <w:t>FTSE/ATHEX Global Traders Index</w:t>
      </w:r>
      <w:r w:rsidRPr="00FB6D38">
        <w:rPr>
          <w:rFonts w:ascii="Verdana" w:hAnsi="Verdana" w:cstheme="minorHAnsi"/>
          <w:sz w:val="20"/>
          <w:szCs w:val="20"/>
        </w:rPr>
        <w:t xml:space="preserve">, for the companies with revenues from abroad </w:t>
      </w:r>
      <w:r>
        <w:rPr>
          <w:rFonts w:ascii="Verdana" w:hAnsi="Verdana" w:cstheme="minorHAnsi"/>
          <w:sz w:val="20"/>
          <w:szCs w:val="20"/>
        </w:rPr>
        <w:t xml:space="preserve">greater than </w:t>
      </w:r>
      <w:r w:rsidRPr="00FB6D38">
        <w:rPr>
          <w:rFonts w:ascii="Verdana" w:hAnsi="Verdana" w:cstheme="minorHAnsi"/>
          <w:sz w:val="20"/>
          <w:szCs w:val="20"/>
        </w:rPr>
        <w:t>20%</w:t>
      </w:r>
      <w:r>
        <w:rPr>
          <w:rFonts w:ascii="Verdana" w:hAnsi="Verdana" w:cstheme="minorHAnsi"/>
          <w:sz w:val="20"/>
          <w:szCs w:val="20"/>
        </w:rPr>
        <w:t xml:space="preserve"> </w:t>
      </w:r>
      <w:r w:rsidRPr="00FB6D38">
        <w:rPr>
          <w:rFonts w:ascii="Verdana" w:hAnsi="Verdana" w:cstheme="minorHAnsi"/>
          <w:sz w:val="20"/>
          <w:szCs w:val="20"/>
        </w:rPr>
        <w:t>of their total revenues</w:t>
      </w:r>
      <w:r>
        <w:rPr>
          <w:rFonts w:ascii="Verdana" w:hAnsi="Verdana" w:cstheme="minorHAnsi"/>
          <w:sz w:val="20"/>
          <w:szCs w:val="20"/>
        </w:rPr>
        <w:t xml:space="preserve">. </w:t>
      </w:r>
      <w:r w:rsidR="00A91F93">
        <w:rPr>
          <w:rFonts w:ascii="Verdana" w:hAnsi="Verdana" w:cstheme="minorHAnsi"/>
          <w:sz w:val="20"/>
          <w:szCs w:val="20"/>
        </w:rPr>
        <w:t xml:space="preserve">(For companies </w:t>
      </w:r>
      <w:r>
        <w:rPr>
          <w:rFonts w:ascii="Verdana" w:hAnsi="Verdana" w:cstheme="minorHAnsi"/>
          <w:sz w:val="20"/>
          <w:szCs w:val="20"/>
        </w:rPr>
        <w:t>not participat</w:t>
      </w:r>
      <w:r w:rsidR="00A91F93">
        <w:rPr>
          <w:rFonts w:ascii="Verdana" w:hAnsi="Verdana" w:cstheme="minorHAnsi"/>
          <w:sz w:val="20"/>
          <w:szCs w:val="20"/>
        </w:rPr>
        <w:t>ing</w:t>
      </w:r>
      <w:r>
        <w:rPr>
          <w:rFonts w:ascii="Verdana" w:hAnsi="Verdana" w:cstheme="minorHAnsi"/>
          <w:sz w:val="20"/>
          <w:szCs w:val="20"/>
        </w:rPr>
        <w:t xml:space="preserve"> in the </w:t>
      </w:r>
      <w:r w:rsidRPr="002E0EE3">
        <w:rPr>
          <w:rFonts w:ascii="Verdana" w:hAnsi="Verdana" w:cstheme="minorHAnsi"/>
          <w:sz w:val="20"/>
          <w:szCs w:val="20"/>
        </w:rPr>
        <w:t>FTSE/ATHEX Global Traders Index Plus</w:t>
      </w:r>
      <w:r w:rsidR="00A91F93">
        <w:rPr>
          <w:rFonts w:ascii="Verdana" w:hAnsi="Verdana" w:cstheme="minorHAnsi"/>
          <w:sz w:val="20"/>
          <w:szCs w:val="20"/>
        </w:rPr>
        <w:t>)</w:t>
      </w:r>
    </w:p>
    <w:p w:rsidR="006E75A4" w:rsidRDefault="003C075C" w:rsidP="00A65A34">
      <w:pPr>
        <w:pStyle w:val="ListBulleting"/>
        <w:numPr>
          <w:ilvl w:val="0"/>
          <w:numId w:val="20"/>
        </w:numPr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 w:rsidRPr="00FB6D38">
        <w:rPr>
          <w:rFonts w:ascii="Verdana" w:hAnsi="Verdana" w:cstheme="minorHAnsi"/>
          <w:b/>
          <w:sz w:val="20"/>
          <w:szCs w:val="20"/>
        </w:rPr>
        <w:t>FTSE/ATHEX Global Traders Index Plus</w:t>
      </w:r>
      <w:r w:rsidRPr="00FB6D38">
        <w:rPr>
          <w:rFonts w:ascii="Verdana" w:hAnsi="Verdana" w:cstheme="minorHAnsi"/>
          <w:sz w:val="20"/>
          <w:szCs w:val="20"/>
        </w:rPr>
        <w:t>,</w:t>
      </w:r>
      <w:r w:rsidR="00304582" w:rsidRPr="00FB6D38">
        <w:rPr>
          <w:rFonts w:ascii="Verdana" w:hAnsi="Verdana" w:cstheme="minorHAnsi"/>
          <w:sz w:val="20"/>
          <w:szCs w:val="20"/>
        </w:rPr>
        <w:t xml:space="preserve"> </w:t>
      </w:r>
      <w:r w:rsidR="006E75A4" w:rsidRPr="00FB6D38">
        <w:rPr>
          <w:rFonts w:ascii="Verdana" w:hAnsi="Verdana" w:cstheme="minorHAnsi"/>
          <w:sz w:val="20"/>
          <w:szCs w:val="20"/>
        </w:rPr>
        <w:t xml:space="preserve">for </w:t>
      </w:r>
      <w:r w:rsidR="00A15365">
        <w:rPr>
          <w:rFonts w:ascii="Verdana" w:hAnsi="Verdana" w:cstheme="minorHAnsi"/>
          <w:sz w:val="20"/>
          <w:szCs w:val="20"/>
        </w:rPr>
        <w:t xml:space="preserve">the </w:t>
      </w:r>
      <w:r w:rsidR="002E0EE3">
        <w:rPr>
          <w:rFonts w:ascii="Verdana" w:hAnsi="Verdana" w:cstheme="minorHAnsi"/>
          <w:sz w:val="20"/>
          <w:szCs w:val="20"/>
        </w:rPr>
        <w:t xml:space="preserve">top 30 </w:t>
      </w:r>
      <w:r w:rsidRPr="00FB6D38">
        <w:rPr>
          <w:rFonts w:ascii="Verdana" w:hAnsi="Verdana" w:cstheme="minorHAnsi"/>
          <w:sz w:val="20"/>
          <w:szCs w:val="20"/>
        </w:rPr>
        <w:t xml:space="preserve">companies </w:t>
      </w:r>
      <w:r w:rsidR="00A65A34">
        <w:rPr>
          <w:rFonts w:ascii="Verdana" w:hAnsi="Verdana" w:cstheme="minorHAnsi"/>
          <w:sz w:val="20"/>
          <w:szCs w:val="20"/>
        </w:rPr>
        <w:t xml:space="preserve">according to revenues split from abroad from the list of constituents of the </w:t>
      </w:r>
      <w:r w:rsidR="00A65A34" w:rsidRPr="00A65A34">
        <w:rPr>
          <w:rFonts w:ascii="Verdana" w:hAnsi="Verdana" w:cstheme="minorHAnsi"/>
          <w:sz w:val="20"/>
          <w:szCs w:val="20"/>
        </w:rPr>
        <w:t>FTSE/ATHEX Global Traders Index</w:t>
      </w:r>
      <w:r w:rsidR="00A65A34">
        <w:rPr>
          <w:rFonts w:ascii="Verdana" w:hAnsi="Verdana" w:cstheme="minorHAnsi"/>
          <w:sz w:val="20"/>
          <w:szCs w:val="20"/>
        </w:rPr>
        <w:t>.</w:t>
      </w:r>
    </w:p>
    <w:p w:rsidR="00DB478E" w:rsidRPr="00FB6D38" w:rsidRDefault="00DB478E" w:rsidP="00A65A34">
      <w:pPr>
        <w:pStyle w:val="ListBulleting"/>
        <w:numPr>
          <w:ilvl w:val="0"/>
          <w:numId w:val="20"/>
        </w:numPr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3F3A11" w:rsidRDefault="003F3A11" w:rsidP="00A91F93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3F3A11" w:rsidRDefault="006E75A4" w:rsidP="00A91F93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FB6D38">
        <w:rPr>
          <w:rFonts w:ascii="Verdana" w:hAnsi="Verdana"/>
          <w:sz w:val="20"/>
          <w:szCs w:val="20"/>
        </w:rPr>
        <w:t xml:space="preserve">The indices will be free float market capitalization weighted where individual stocks will be capped at 20% of the index weight. </w:t>
      </w:r>
    </w:p>
    <w:p w:rsidR="003F3A11" w:rsidRDefault="003F3A11" w:rsidP="00A91F93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6E75A4" w:rsidRPr="00FB6D38" w:rsidRDefault="006E75A4" w:rsidP="00A91F93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FB6D38">
        <w:rPr>
          <w:rFonts w:ascii="Verdana" w:hAnsi="Verdana"/>
          <w:sz w:val="20"/>
          <w:szCs w:val="20"/>
        </w:rPr>
        <w:t xml:space="preserve">The starting price is set to 1,000 points and the calculation will begin on </w:t>
      </w:r>
      <w:r w:rsidRPr="0041189A">
        <w:rPr>
          <w:rFonts w:ascii="Verdana" w:hAnsi="Verdana"/>
          <w:b/>
          <w:sz w:val="20"/>
          <w:szCs w:val="20"/>
        </w:rPr>
        <w:t>Monday December 03, 2012.</w:t>
      </w:r>
    </w:p>
    <w:p w:rsidR="003F3A11" w:rsidRDefault="003F3A11" w:rsidP="00F71A6D">
      <w:pPr>
        <w:jc w:val="both"/>
        <w:rPr>
          <w:rFonts w:ascii="Verdana" w:hAnsi="Verdana"/>
          <w:sz w:val="20"/>
          <w:szCs w:val="20"/>
        </w:rPr>
      </w:pPr>
    </w:p>
    <w:p w:rsidR="003F3A11" w:rsidRDefault="003F3A11" w:rsidP="00F71A6D">
      <w:pPr>
        <w:jc w:val="both"/>
        <w:rPr>
          <w:rFonts w:ascii="Verdana" w:hAnsi="Verdana"/>
          <w:sz w:val="20"/>
          <w:szCs w:val="20"/>
        </w:rPr>
      </w:pPr>
    </w:p>
    <w:p w:rsidR="003F3A11" w:rsidRDefault="003F3A11" w:rsidP="00F71A6D">
      <w:pPr>
        <w:jc w:val="both"/>
        <w:rPr>
          <w:rFonts w:ascii="Verdana" w:hAnsi="Verdana"/>
          <w:sz w:val="20"/>
          <w:szCs w:val="20"/>
        </w:rPr>
      </w:pPr>
    </w:p>
    <w:p w:rsidR="003F3A11" w:rsidRDefault="003F3A11" w:rsidP="00F71A6D">
      <w:pPr>
        <w:jc w:val="both"/>
        <w:rPr>
          <w:rFonts w:ascii="Verdana" w:hAnsi="Verdana"/>
          <w:sz w:val="20"/>
          <w:szCs w:val="20"/>
        </w:rPr>
      </w:pPr>
    </w:p>
    <w:p w:rsidR="003F3A11" w:rsidRDefault="003F3A11" w:rsidP="00F71A6D">
      <w:pPr>
        <w:jc w:val="both"/>
        <w:rPr>
          <w:rFonts w:ascii="Verdana" w:hAnsi="Verdana"/>
          <w:sz w:val="20"/>
          <w:szCs w:val="20"/>
        </w:rPr>
      </w:pPr>
    </w:p>
    <w:p w:rsidR="002E710A" w:rsidRPr="00FB6D38" w:rsidRDefault="00F71A6D" w:rsidP="00F71A6D">
      <w:pPr>
        <w:jc w:val="both"/>
        <w:rPr>
          <w:rFonts w:ascii="Verdana" w:hAnsi="Verdana"/>
          <w:sz w:val="20"/>
          <w:szCs w:val="20"/>
        </w:rPr>
      </w:pPr>
      <w:r w:rsidRPr="00FB6D38">
        <w:rPr>
          <w:rFonts w:ascii="Verdana" w:hAnsi="Verdana"/>
          <w:sz w:val="20"/>
          <w:szCs w:val="20"/>
        </w:rPr>
        <w:t>New indices characteristics and composition are:</w:t>
      </w:r>
    </w:p>
    <w:p w:rsidR="00F71A6D" w:rsidRPr="00FB6D38" w:rsidRDefault="00A476A8" w:rsidP="002E710A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4238625" cy="40100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71A6D" w:rsidRDefault="00F94B71" w:rsidP="002E0EE3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lastRenderedPageBreak/>
        <w:drawing>
          <wp:inline distT="0" distB="0" distL="0" distR="0">
            <wp:extent cx="5543550" cy="819886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8198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B71" w:rsidRDefault="00F94B71" w:rsidP="002E0EE3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lastRenderedPageBreak/>
        <w:drawing>
          <wp:inline distT="0" distB="0" distL="0" distR="0">
            <wp:extent cx="5543550" cy="559013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5590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B71" w:rsidRDefault="00F94B71" w:rsidP="002E0EE3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lastRenderedPageBreak/>
        <w:drawing>
          <wp:inline distT="0" distB="0" distL="0" distR="0">
            <wp:extent cx="5543550" cy="670816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6708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10A" w:rsidRPr="00FB6D38" w:rsidRDefault="002E710A" w:rsidP="00F71A6D">
      <w:pPr>
        <w:jc w:val="both"/>
        <w:rPr>
          <w:rFonts w:ascii="Verdana" w:hAnsi="Verdana"/>
          <w:sz w:val="20"/>
          <w:szCs w:val="20"/>
        </w:rPr>
      </w:pPr>
    </w:p>
    <w:p w:rsidR="00EF1EFF" w:rsidRPr="00FB6D38" w:rsidRDefault="00F71A6D" w:rsidP="0041189A">
      <w:pPr>
        <w:jc w:val="both"/>
        <w:rPr>
          <w:rFonts w:ascii="Verdana" w:hAnsi="Verdana" w:cstheme="minorHAnsi"/>
          <w:sz w:val="24"/>
          <w:szCs w:val="24"/>
          <w:lang w:val="en-GB"/>
        </w:rPr>
      </w:pPr>
      <w:r w:rsidRPr="00FB6D38">
        <w:rPr>
          <w:rFonts w:ascii="Verdana" w:hAnsi="Verdana"/>
          <w:sz w:val="16"/>
          <w:szCs w:val="16"/>
        </w:rPr>
        <w:t xml:space="preserve">Index ground rules are available on </w:t>
      </w:r>
      <w:r w:rsidRPr="00FB6D38">
        <w:rPr>
          <w:rFonts w:ascii="Verdana" w:hAnsi="Verdana"/>
          <w:color w:val="365F91" w:themeColor="accent1" w:themeShade="BF"/>
          <w:sz w:val="16"/>
          <w:szCs w:val="16"/>
          <w:u w:val="single"/>
        </w:rPr>
        <w:t>ATHEX</w:t>
      </w:r>
      <w:r w:rsidRPr="00FB6D38">
        <w:rPr>
          <w:rFonts w:ascii="Verdana" w:hAnsi="Verdana"/>
          <w:sz w:val="16"/>
          <w:szCs w:val="16"/>
        </w:rPr>
        <w:t xml:space="preserve"> and FTSE web site. </w:t>
      </w:r>
    </w:p>
    <w:sectPr w:rsidR="00EF1EFF" w:rsidRPr="00FB6D38" w:rsidSect="0041189A">
      <w:headerReference w:type="default" r:id="rId13"/>
      <w:footerReference w:type="default" r:id="rId14"/>
      <w:pgSz w:w="11906" w:h="16838"/>
      <w:pgMar w:top="1440" w:right="1588" w:bottom="1077" w:left="15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746" w:rsidRDefault="00844746" w:rsidP="00AE70CC">
      <w:pPr>
        <w:spacing w:after="0" w:line="240" w:lineRule="auto"/>
      </w:pPr>
      <w:r>
        <w:separator/>
      </w:r>
    </w:p>
  </w:endnote>
  <w:endnote w:type="continuationSeparator" w:id="0">
    <w:p w:rsidR="00844746" w:rsidRDefault="00844746" w:rsidP="00AE7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D31" w:rsidRDefault="00631D31" w:rsidP="007D1FC7">
    <w:pPr>
      <w:pStyle w:val="Footer"/>
      <w:pBdr>
        <w:top w:val="single" w:sz="4" w:space="1" w:color="auto"/>
      </w:pBdr>
    </w:pPr>
    <w:r>
      <w:rPr>
        <w:sz w:val="20"/>
        <w:szCs w:val="20"/>
      </w:rPr>
      <w:t xml:space="preserve">October </w:t>
    </w:r>
    <w:r w:rsidR="002E0EE3">
      <w:rPr>
        <w:sz w:val="20"/>
        <w:szCs w:val="20"/>
      </w:rPr>
      <w:t>25</w:t>
    </w:r>
    <w:r>
      <w:rPr>
        <w:sz w:val="20"/>
        <w:szCs w:val="20"/>
      </w:rPr>
      <w:t>, 2012</w:t>
    </w:r>
    <w:r w:rsidR="002E0EE3">
      <w:rPr>
        <w:sz w:val="20"/>
        <w:szCs w:val="20"/>
      </w:rPr>
      <w:t xml:space="preserve">         </w:t>
    </w:r>
    <w:r>
      <w:rPr>
        <w:sz w:val="20"/>
        <w:szCs w:val="20"/>
      </w:rPr>
      <w:t xml:space="preserve">                                                                                                                                    </w:t>
    </w:r>
    <w:r w:rsidRPr="00146484">
      <w:rPr>
        <w:sz w:val="20"/>
        <w:szCs w:val="20"/>
      </w:rPr>
      <w:t xml:space="preserve">Page </w:t>
    </w:r>
    <w:r w:rsidRPr="00146484">
      <w:rPr>
        <w:b/>
        <w:bCs/>
        <w:sz w:val="20"/>
        <w:szCs w:val="20"/>
      </w:rPr>
      <w:fldChar w:fldCharType="begin"/>
    </w:r>
    <w:r w:rsidRPr="00146484">
      <w:rPr>
        <w:b/>
        <w:bCs/>
        <w:sz w:val="20"/>
        <w:szCs w:val="20"/>
      </w:rPr>
      <w:instrText xml:space="preserve"> PAGE </w:instrText>
    </w:r>
    <w:r w:rsidRPr="00146484">
      <w:rPr>
        <w:b/>
        <w:bCs/>
        <w:sz w:val="20"/>
        <w:szCs w:val="20"/>
      </w:rPr>
      <w:fldChar w:fldCharType="separate"/>
    </w:r>
    <w:r w:rsidR="00A476A8">
      <w:rPr>
        <w:b/>
        <w:bCs/>
        <w:noProof/>
        <w:sz w:val="20"/>
        <w:szCs w:val="20"/>
      </w:rPr>
      <w:t>2</w:t>
    </w:r>
    <w:r w:rsidRPr="00146484">
      <w:rPr>
        <w:b/>
        <w:bCs/>
        <w:sz w:val="20"/>
        <w:szCs w:val="20"/>
      </w:rPr>
      <w:fldChar w:fldCharType="end"/>
    </w:r>
    <w:r w:rsidRPr="00146484">
      <w:rPr>
        <w:sz w:val="20"/>
        <w:szCs w:val="20"/>
      </w:rPr>
      <w:t xml:space="preserve"> of </w:t>
    </w:r>
    <w:r w:rsidRPr="00146484">
      <w:rPr>
        <w:b/>
        <w:bCs/>
        <w:sz w:val="20"/>
        <w:szCs w:val="20"/>
      </w:rPr>
      <w:fldChar w:fldCharType="begin"/>
    </w:r>
    <w:r w:rsidRPr="00146484">
      <w:rPr>
        <w:b/>
        <w:bCs/>
        <w:sz w:val="20"/>
        <w:szCs w:val="20"/>
      </w:rPr>
      <w:instrText xml:space="preserve"> NUMPAGES  </w:instrText>
    </w:r>
    <w:r w:rsidRPr="00146484">
      <w:rPr>
        <w:b/>
        <w:bCs/>
        <w:sz w:val="20"/>
        <w:szCs w:val="20"/>
      </w:rPr>
      <w:fldChar w:fldCharType="separate"/>
    </w:r>
    <w:r w:rsidR="00A476A8">
      <w:rPr>
        <w:b/>
        <w:bCs/>
        <w:noProof/>
        <w:sz w:val="20"/>
        <w:szCs w:val="20"/>
      </w:rPr>
      <w:t>5</w:t>
    </w:r>
    <w:r w:rsidRPr="00146484">
      <w:rPr>
        <w:b/>
        <w:bCs/>
        <w:sz w:val="20"/>
        <w:szCs w:val="20"/>
      </w:rPr>
      <w:fldChar w:fldCharType="end"/>
    </w:r>
  </w:p>
  <w:p w:rsidR="00631D31" w:rsidRDefault="00631D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746" w:rsidRDefault="00844746" w:rsidP="00AE70CC">
      <w:pPr>
        <w:spacing w:after="0" w:line="240" w:lineRule="auto"/>
      </w:pPr>
      <w:r>
        <w:separator/>
      </w:r>
    </w:p>
  </w:footnote>
  <w:footnote w:type="continuationSeparator" w:id="0">
    <w:p w:rsidR="00844746" w:rsidRDefault="00844746" w:rsidP="00AE7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D31" w:rsidRPr="00FC4C2D" w:rsidRDefault="00631D31" w:rsidP="00AE70CC">
    <w:pPr>
      <w:pStyle w:val="Header"/>
      <w:pBdr>
        <w:bottom w:val="single" w:sz="4" w:space="1" w:color="auto"/>
      </w:pBdr>
      <w:rPr>
        <w:sz w:val="20"/>
        <w:szCs w:val="20"/>
      </w:rPr>
    </w:pPr>
    <w:r>
      <w:rPr>
        <w:rFonts w:ascii="Verdana" w:hAnsi="Verdana"/>
        <w:noProof/>
        <w:sz w:val="26"/>
        <w:szCs w:val="26"/>
      </w:rPr>
      <w:drawing>
        <wp:inline distT="0" distB="0" distL="0" distR="0" wp14:anchorId="23BD975B" wp14:editId="3B643C66">
          <wp:extent cx="609600" cy="885371"/>
          <wp:effectExtent l="0" t="0" r="0" b="0"/>
          <wp:docPr id="1" name="Picture 1" descr="ATHEX Logo ENG Color L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HEX Logo ENG Color L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8853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C2A66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F0E91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A00A3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AC48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67A96A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922BE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57494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328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26E5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9A285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9AB3CC2"/>
    <w:multiLevelType w:val="hybridMultilevel"/>
    <w:tmpl w:val="3D24065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4D1C15"/>
    <w:multiLevelType w:val="hybridMultilevel"/>
    <w:tmpl w:val="1EE21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1C1665"/>
    <w:multiLevelType w:val="hybridMultilevel"/>
    <w:tmpl w:val="AEA2EB46"/>
    <w:lvl w:ilvl="0" w:tplc="70CEF39C">
      <w:start w:val="1"/>
      <w:numFmt w:val="bullet"/>
      <w:pStyle w:val="ListBulleting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b/>
        <w:i w:val="0"/>
        <w:color w:val="auto"/>
        <w:sz w:val="20"/>
        <w:szCs w:val="20"/>
      </w:rPr>
    </w:lvl>
    <w:lvl w:ilvl="1" w:tplc="148CC444">
      <w:start w:val="1"/>
      <w:numFmt w:val="bullet"/>
      <w:lvlText w:val="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/>
        <w:i w:val="0"/>
        <w:color w:val="auto"/>
        <w:sz w:val="20"/>
        <w:szCs w:val="20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2A2E7A"/>
    <w:multiLevelType w:val="hybridMultilevel"/>
    <w:tmpl w:val="7C4C1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9604A9"/>
    <w:multiLevelType w:val="hybridMultilevel"/>
    <w:tmpl w:val="E1123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7A342A"/>
    <w:multiLevelType w:val="hybridMultilevel"/>
    <w:tmpl w:val="D18EB496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>
    <w:nsid w:val="66465267"/>
    <w:multiLevelType w:val="hybridMultilevel"/>
    <w:tmpl w:val="D68EA178"/>
    <w:lvl w:ilvl="0" w:tplc="431C1C9C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A73FEF"/>
    <w:multiLevelType w:val="hybridMultilevel"/>
    <w:tmpl w:val="D12E58D8"/>
    <w:lvl w:ilvl="0" w:tplc="431C1C9C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DF42F3"/>
    <w:multiLevelType w:val="hybridMultilevel"/>
    <w:tmpl w:val="6FA45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8B7E6A"/>
    <w:multiLevelType w:val="hybridMultilevel"/>
    <w:tmpl w:val="F1143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17"/>
  </w:num>
  <w:num w:numId="4">
    <w:abstractNumId w:val="14"/>
  </w:num>
  <w:num w:numId="5">
    <w:abstractNumId w:val="15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2"/>
  </w:num>
  <w:num w:numId="19">
    <w:abstractNumId w:val="1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B99"/>
    <w:rsid w:val="000150D1"/>
    <w:rsid w:val="00035D65"/>
    <w:rsid w:val="00037563"/>
    <w:rsid w:val="00053148"/>
    <w:rsid w:val="00066408"/>
    <w:rsid w:val="000878B6"/>
    <w:rsid w:val="00095D18"/>
    <w:rsid w:val="000C3636"/>
    <w:rsid w:val="001449B1"/>
    <w:rsid w:val="00146484"/>
    <w:rsid w:val="00157529"/>
    <w:rsid w:val="001702E9"/>
    <w:rsid w:val="001F40C2"/>
    <w:rsid w:val="00240E68"/>
    <w:rsid w:val="002777F5"/>
    <w:rsid w:val="002E0EE3"/>
    <w:rsid w:val="002E2EA2"/>
    <w:rsid w:val="002E710A"/>
    <w:rsid w:val="002E7415"/>
    <w:rsid w:val="003034AB"/>
    <w:rsid w:val="00304582"/>
    <w:rsid w:val="0033569C"/>
    <w:rsid w:val="00366AB3"/>
    <w:rsid w:val="003C075C"/>
    <w:rsid w:val="003C2939"/>
    <w:rsid w:val="003E6A62"/>
    <w:rsid w:val="003F3A11"/>
    <w:rsid w:val="0041189A"/>
    <w:rsid w:val="004871DD"/>
    <w:rsid w:val="004D7696"/>
    <w:rsid w:val="004F39EA"/>
    <w:rsid w:val="00532351"/>
    <w:rsid w:val="00533ED7"/>
    <w:rsid w:val="005C0EB7"/>
    <w:rsid w:val="00631D31"/>
    <w:rsid w:val="006877E8"/>
    <w:rsid w:val="006E7582"/>
    <w:rsid w:val="006E75A4"/>
    <w:rsid w:val="00714683"/>
    <w:rsid w:val="00731B90"/>
    <w:rsid w:val="00732000"/>
    <w:rsid w:val="00750519"/>
    <w:rsid w:val="00775219"/>
    <w:rsid w:val="007D1FC7"/>
    <w:rsid w:val="008162B0"/>
    <w:rsid w:val="008239AC"/>
    <w:rsid w:val="00844746"/>
    <w:rsid w:val="00882A3D"/>
    <w:rsid w:val="008A2779"/>
    <w:rsid w:val="008A7A02"/>
    <w:rsid w:val="008B165B"/>
    <w:rsid w:val="008D0DC7"/>
    <w:rsid w:val="008E7A46"/>
    <w:rsid w:val="00912185"/>
    <w:rsid w:val="009346EA"/>
    <w:rsid w:val="00997691"/>
    <w:rsid w:val="009D4C07"/>
    <w:rsid w:val="00A06684"/>
    <w:rsid w:val="00A15365"/>
    <w:rsid w:val="00A30BD2"/>
    <w:rsid w:val="00A41778"/>
    <w:rsid w:val="00A476A8"/>
    <w:rsid w:val="00A646F6"/>
    <w:rsid w:val="00A65A34"/>
    <w:rsid w:val="00A76F76"/>
    <w:rsid w:val="00A90B26"/>
    <w:rsid w:val="00A91F93"/>
    <w:rsid w:val="00A962EB"/>
    <w:rsid w:val="00AA3D37"/>
    <w:rsid w:val="00AE1316"/>
    <w:rsid w:val="00AE70CC"/>
    <w:rsid w:val="00B310EC"/>
    <w:rsid w:val="00B46E37"/>
    <w:rsid w:val="00B531F5"/>
    <w:rsid w:val="00BD4900"/>
    <w:rsid w:val="00BF12E0"/>
    <w:rsid w:val="00BF7CD9"/>
    <w:rsid w:val="00C4378F"/>
    <w:rsid w:val="00C56AA1"/>
    <w:rsid w:val="00C82B99"/>
    <w:rsid w:val="00CD33F4"/>
    <w:rsid w:val="00CF5E3C"/>
    <w:rsid w:val="00D27EA1"/>
    <w:rsid w:val="00D43B6A"/>
    <w:rsid w:val="00D70F27"/>
    <w:rsid w:val="00D73755"/>
    <w:rsid w:val="00DB478E"/>
    <w:rsid w:val="00DB68D9"/>
    <w:rsid w:val="00DE3D80"/>
    <w:rsid w:val="00E21D0E"/>
    <w:rsid w:val="00E40A48"/>
    <w:rsid w:val="00EF1EFF"/>
    <w:rsid w:val="00F01369"/>
    <w:rsid w:val="00F06491"/>
    <w:rsid w:val="00F077B8"/>
    <w:rsid w:val="00F2066F"/>
    <w:rsid w:val="00F30EF8"/>
    <w:rsid w:val="00F71A6D"/>
    <w:rsid w:val="00F94B71"/>
    <w:rsid w:val="00FB1F56"/>
    <w:rsid w:val="00FB6D38"/>
    <w:rsid w:val="00FC4C2D"/>
    <w:rsid w:val="00FF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6">
    <w:name w:val="heading 6"/>
    <w:basedOn w:val="Normal"/>
    <w:next w:val="Normal"/>
    <w:qFormat/>
    <w:rsid w:val="000150D1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B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70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0CC"/>
  </w:style>
  <w:style w:type="paragraph" w:styleId="Footer">
    <w:name w:val="footer"/>
    <w:basedOn w:val="Normal"/>
    <w:link w:val="FooterChar"/>
    <w:uiPriority w:val="99"/>
    <w:unhideWhenUsed/>
    <w:rsid w:val="00AE70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0CC"/>
  </w:style>
  <w:style w:type="table" w:styleId="TableGrid">
    <w:name w:val="Table Grid"/>
    <w:basedOn w:val="TableNormal"/>
    <w:uiPriority w:val="59"/>
    <w:rsid w:val="00F077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EF1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F1EF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57529"/>
    <w:pPr>
      <w:spacing w:after="0" w:line="360" w:lineRule="auto"/>
      <w:jc w:val="both"/>
    </w:pPr>
    <w:rPr>
      <w:rFonts w:ascii="Tahoma" w:eastAsia="Times New Roman" w:hAnsi="Tahoma" w:cs="Tahoma"/>
      <w:szCs w:val="24"/>
      <w:lang w:val="el-GR"/>
    </w:rPr>
  </w:style>
  <w:style w:type="character" w:customStyle="1" w:styleId="BodyTextChar">
    <w:name w:val="Body Text Char"/>
    <w:basedOn w:val="DefaultParagraphFont"/>
    <w:link w:val="BodyText"/>
    <w:rsid w:val="00157529"/>
    <w:rPr>
      <w:rFonts w:ascii="Tahoma" w:eastAsia="Times New Roman" w:hAnsi="Tahoma" w:cs="Tahoma"/>
      <w:sz w:val="22"/>
      <w:szCs w:val="24"/>
      <w:lang w:val="el-GR"/>
    </w:rPr>
  </w:style>
  <w:style w:type="paragraph" w:customStyle="1" w:styleId="ListBulleting">
    <w:name w:val="List Bulleting"/>
    <w:basedOn w:val="Normal"/>
    <w:rsid w:val="00AE1316"/>
    <w:pPr>
      <w:numPr>
        <w:numId w:val="18"/>
      </w:numPr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6">
    <w:name w:val="heading 6"/>
    <w:basedOn w:val="Normal"/>
    <w:next w:val="Normal"/>
    <w:qFormat/>
    <w:rsid w:val="000150D1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B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70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0CC"/>
  </w:style>
  <w:style w:type="paragraph" w:styleId="Footer">
    <w:name w:val="footer"/>
    <w:basedOn w:val="Normal"/>
    <w:link w:val="FooterChar"/>
    <w:uiPriority w:val="99"/>
    <w:unhideWhenUsed/>
    <w:rsid w:val="00AE70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0CC"/>
  </w:style>
  <w:style w:type="table" w:styleId="TableGrid">
    <w:name w:val="Table Grid"/>
    <w:basedOn w:val="TableNormal"/>
    <w:uiPriority w:val="59"/>
    <w:rsid w:val="00F077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EF1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F1EF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57529"/>
    <w:pPr>
      <w:spacing w:after="0" w:line="360" w:lineRule="auto"/>
      <w:jc w:val="both"/>
    </w:pPr>
    <w:rPr>
      <w:rFonts w:ascii="Tahoma" w:eastAsia="Times New Roman" w:hAnsi="Tahoma" w:cs="Tahoma"/>
      <w:szCs w:val="24"/>
      <w:lang w:val="el-GR"/>
    </w:rPr>
  </w:style>
  <w:style w:type="character" w:customStyle="1" w:styleId="BodyTextChar">
    <w:name w:val="Body Text Char"/>
    <w:basedOn w:val="DefaultParagraphFont"/>
    <w:link w:val="BodyText"/>
    <w:rsid w:val="00157529"/>
    <w:rPr>
      <w:rFonts w:ascii="Tahoma" w:eastAsia="Times New Roman" w:hAnsi="Tahoma" w:cs="Tahoma"/>
      <w:sz w:val="22"/>
      <w:szCs w:val="24"/>
      <w:lang w:val="el-GR"/>
    </w:rPr>
  </w:style>
  <w:style w:type="paragraph" w:customStyle="1" w:styleId="ListBulleting">
    <w:name w:val="List Bulleting"/>
    <w:basedOn w:val="Normal"/>
    <w:rsid w:val="00AE1316"/>
    <w:pPr>
      <w:numPr>
        <w:numId w:val="18"/>
      </w:numPr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088E1-91B7-4172-98F8-6C80DA2BA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Ground Rules - Liquidity Criterion</vt:lpstr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Ground Rules - Liquidity Criterion</dc:title>
  <dc:creator>C-Poul</dc:creator>
  <cp:lastModifiedBy>C-Poul</cp:lastModifiedBy>
  <cp:revision>4</cp:revision>
  <dcterms:created xsi:type="dcterms:W3CDTF">2012-10-25T09:29:00Z</dcterms:created>
  <dcterms:modified xsi:type="dcterms:W3CDTF">2013-10-03T12:50:00Z</dcterms:modified>
</cp:coreProperties>
</file>