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D68C" w14:textId="7D882362" w:rsidR="005E0983" w:rsidRPr="00B11E0E" w:rsidRDefault="005E0983" w:rsidP="0098704C">
      <w:pPr>
        <w:jc w:val="right"/>
        <w:rPr>
          <w:sz w:val="28"/>
          <w:szCs w:val="28"/>
          <w:lang w:val="el-GR"/>
        </w:rPr>
      </w:pPr>
    </w:p>
    <w:p w14:paraId="2BDA1832" w14:textId="5EAFE372" w:rsidR="0098704C" w:rsidRPr="000A5B93" w:rsidRDefault="006466D1" w:rsidP="0098704C">
      <w:pPr>
        <w:jc w:val="right"/>
        <w:rPr>
          <w:rFonts w:ascii="Manrope" w:hAnsi="Manrope"/>
          <w:b/>
          <w:lang w:val="el-GR"/>
        </w:rPr>
      </w:pPr>
      <w:r w:rsidRPr="000A5B93">
        <w:rPr>
          <w:rFonts w:ascii="Manrope" w:hAnsi="Manrope"/>
          <w:b/>
          <w:lang w:val="el-GR"/>
        </w:rPr>
        <w:t>Ιανουά</w:t>
      </w:r>
      <w:r w:rsidR="00546341" w:rsidRPr="000A5B93">
        <w:rPr>
          <w:rFonts w:ascii="Manrope" w:hAnsi="Manrope"/>
          <w:b/>
          <w:lang w:val="el-GR"/>
        </w:rPr>
        <w:t xml:space="preserve">ριος </w:t>
      </w:r>
      <w:r w:rsidR="0084315D" w:rsidRPr="000A5B93">
        <w:rPr>
          <w:rFonts w:ascii="Manrope" w:hAnsi="Manrope"/>
          <w:b/>
          <w:lang w:val="el-GR"/>
        </w:rPr>
        <w:t>202</w:t>
      </w:r>
      <w:r w:rsidRPr="000A5B93">
        <w:rPr>
          <w:rFonts w:ascii="Manrope" w:hAnsi="Manrope"/>
          <w:b/>
          <w:lang w:val="el-GR"/>
        </w:rPr>
        <w:t>5</w:t>
      </w:r>
    </w:p>
    <w:p w14:paraId="1400A64E" w14:textId="77777777" w:rsidR="0030460E" w:rsidRPr="00D506C2" w:rsidRDefault="0030460E" w:rsidP="0030460E">
      <w:pPr>
        <w:pStyle w:val="Title"/>
        <w:rPr>
          <w:rFonts w:ascii="Manrope" w:hAnsi="Manrope"/>
          <w:sz w:val="24"/>
          <w:szCs w:val="24"/>
        </w:rPr>
      </w:pPr>
      <w:r w:rsidRPr="00D506C2">
        <w:rPr>
          <w:rFonts w:ascii="Manrope" w:hAnsi="Manrope"/>
          <w:sz w:val="24"/>
          <w:szCs w:val="24"/>
        </w:rPr>
        <w:t xml:space="preserve">Μηνιαία Έκδοση </w:t>
      </w:r>
      <w:r w:rsidRPr="00D506C2">
        <w:rPr>
          <w:rFonts w:ascii="Manrope" w:hAnsi="Manrope"/>
          <w:sz w:val="24"/>
          <w:szCs w:val="24"/>
          <w:lang w:val="en-US"/>
        </w:rPr>
        <w:t>A</w:t>
      </w:r>
      <w:r w:rsidRPr="00D506C2">
        <w:rPr>
          <w:rFonts w:ascii="Manrope" w:hAnsi="Manrope"/>
          <w:sz w:val="24"/>
          <w:szCs w:val="24"/>
        </w:rPr>
        <w:t>ξ</w:t>
      </w:r>
      <w:proofErr w:type="spellStart"/>
      <w:r w:rsidRPr="00D506C2">
        <w:rPr>
          <w:rFonts w:ascii="Manrope" w:hAnsi="Manrope"/>
          <w:sz w:val="24"/>
          <w:szCs w:val="24"/>
          <w:lang w:val="en-US"/>
        </w:rPr>
        <w:t>IAnumbers</w:t>
      </w:r>
      <w:proofErr w:type="spellEnd"/>
      <w:r w:rsidRPr="00D506C2">
        <w:rPr>
          <w:rFonts w:ascii="Manrope" w:hAnsi="Manrope"/>
          <w:sz w:val="24"/>
          <w:szCs w:val="24"/>
        </w:rPr>
        <w:t xml:space="preserve"> </w:t>
      </w:r>
    </w:p>
    <w:p w14:paraId="69C5A707" w14:textId="122EA1F5" w:rsidR="00136969" w:rsidRPr="00914C12" w:rsidRDefault="00D35FC9" w:rsidP="0088109F">
      <w:pPr>
        <w:spacing w:line="360" w:lineRule="auto"/>
        <w:jc w:val="both"/>
        <w:rPr>
          <w:rFonts w:ascii="Manrope" w:hAnsi="Manrope"/>
          <w:bCs/>
          <w:lang w:val="el-GR"/>
        </w:rPr>
      </w:pPr>
      <w:r w:rsidRPr="00914C12">
        <w:rPr>
          <w:rFonts w:ascii="Manrope" w:hAnsi="Manrope"/>
          <w:bCs/>
          <w:lang w:val="el-GR"/>
        </w:rPr>
        <w:t>Ανοδικά</w:t>
      </w:r>
      <w:r w:rsidR="00856E22" w:rsidRPr="00914C12">
        <w:rPr>
          <w:rFonts w:ascii="Manrope" w:hAnsi="Manrope"/>
          <w:bCs/>
          <w:lang w:val="el-GR"/>
        </w:rPr>
        <w:t xml:space="preserve"> </w:t>
      </w:r>
      <w:r w:rsidR="00136969" w:rsidRPr="00914C12">
        <w:rPr>
          <w:rFonts w:ascii="Manrope" w:hAnsi="Manrope"/>
          <w:bCs/>
          <w:lang w:val="el-GR"/>
        </w:rPr>
        <w:t>κινήθηκε το Χρηματιστήριο Αθηνών κατά το μήνα</w:t>
      </w:r>
      <w:r w:rsidR="00171D78" w:rsidRPr="00914C12">
        <w:rPr>
          <w:rFonts w:ascii="Manrope" w:hAnsi="Manrope"/>
          <w:bCs/>
          <w:lang w:val="el-GR"/>
        </w:rPr>
        <w:t xml:space="preserve"> </w:t>
      </w:r>
      <w:r w:rsidR="006466D1">
        <w:rPr>
          <w:rFonts w:ascii="Manrope" w:hAnsi="Manrope"/>
          <w:bCs/>
          <w:lang w:val="el-GR"/>
        </w:rPr>
        <w:t>Δεκέμ</w:t>
      </w:r>
      <w:r w:rsidR="00546341" w:rsidRPr="00914C12">
        <w:rPr>
          <w:rFonts w:ascii="Manrope" w:hAnsi="Manrope"/>
          <w:bCs/>
          <w:lang w:val="el-GR"/>
        </w:rPr>
        <w:t>βριο</w:t>
      </w:r>
      <w:r w:rsidR="002E021D" w:rsidRPr="00914C12">
        <w:rPr>
          <w:rFonts w:ascii="Manrope" w:hAnsi="Manrope"/>
          <w:bCs/>
          <w:lang w:val="el-GR"/>
        </w:rPr>
        <w:t>,</w:t>
      </w:r>
      <w:r w:rsidR="00136969" w:rsidRPr="00914C12">
        <w:rPr>
          <w:rFonts w:ascii="Manrope" w:hAnsi="Manrope"/>
          <w:bCs/>
          <w:lang w:val="el-GR"/>
        </w:rPr>
        <w:t xml:space="preserve"> με τ</w:t>
      </w:r>
      <w:r w:rsidR="00CA49E7" w:rsidRPr="00914C12">
        <w:rPr>
          <w:rFonts w:ascii="Manrope" w:hAnsi="Manrope"/>
          <w:bCs/>
          <w:lang w:val="el-GR"/>
        </w:rPr>
        <w:t>ον Γενικό Δείκτη</w:t>
      </w:r>
      <w:r w:rsidR="00136969" w:rsidRPr="00914C12">
        <w:rPr>
          <w:rFonts w:ascii="Manrope" w:hAnsi="Manrope"/>
          <w:bCs/>
          <w:lang w:val="el-GR"/>
        </w:rPr>
        <w:t xml:space="preserve"> να παρουσιάζει </w:t>
      </w:r>
      <w:r w:rsidR="00546341" w:rsidRPr="00914C12">
        <w:rPr>
          <w:rFonts w:ascii="Manrope" w:hAnsi="Manrope"/>
          <w:bCs/>
          <w:lang w:val="el-GR"/>
        </w:rPr>
        <w:t>αύξηση</w:t>
      </w:r>
      <w:r w:rsidR="00856E22" w:rsidRPr="00914C12">
        <w:rPr>
          <w:rFonts w:ascii="Manrope" w:hAnsi="Manrope"/>
          <w:bCs/>
          <w:lang w:val="el-GR"/>
        </w:rPr>
        <w:t xml:space="preserve"> </w:t>
      </w:r>
      <w:r w:rsidR="00136969" w:rsidRPr="00914C12">
        <w:rPr>
          <w:rFonts w:ascii="Manrope" w:hAnsi="Manrope"/>
          <w:bCs/>
          <w:lang w:val="el-GR"/>
        </w:rPr>
        <w:t xml:space="preserve">κατά </w:t>
      </w:r>
      <w:r w:rsidR="00B23FE2" w:rsidRPr="00B23FE2">
        <w:rPr>
          <w:rFonts w:ascii="Manrope" w:hAnsi="Manrope"/>
          <w:bCs/>
          <w:lang w:val="el-GR"/>
        </w:rPr>
        <w:t>5</w:t>
      </w:r>
      <w:r w:rsidR="00B23FE2">
        <w:rPr>
          <w:rFonts w:ascii="Manrope" w:hAnsi="Manrope"/>
          <w:bCs/>
          <w:lang w:val="el-GR"/>
        </w:rPr>
        <w:t>,</w:t>
      </w:r>
      <w:r w:rsidR="00B23FE2" w:rsidRPr="00B23FE2">
        <w:rPr>
          <w:rFonts w:ascii="Manrope" w:hAnsi="Manrope"/>
          <w:bCs/>
          <w:lang w:val="el-GR"/>
        </w:rPr>
        <w:t>47</w:t>
      </w:r>
      <w:r w:rsidR="00136969" w:rsidRPr="00914C12">
        <w:rPr>
          <w:rFonts w:ascii="Manrope" w:hAnsi="Manrope"/>
          <w:bCs/>
          <w:lang w:val="el-GR"/>
        </w:rPr>
        <w:t>%</w:t>
      </w:r>
      <w:r w:rsidR="00CA49E7" w:rsidRPr="00914C12">
        <w:rPr>
          <w:rFonts w:ascii="Manrope" w:hAnsi="Manrope"/>
          <w:bCs/>
          <w:lang w:val="el-GR"/>
        </w:rPr>
        <w:t xml:space="preserve"> </w:t>
      </w:r>
      <w:r w:rsidR="00514214" w:rsidRPr="00914C12">
        <w:rPr>
          <w:rFonts w:ascii="Manrope" w:hAnsi="Manrope"/>
          <w:bCs/>
          <w:lang w:val="el-GR"/>
        </w:rPr>
        <w:t>σε σχέση με τα επίπεδα του</w:t>
      </w:r>
      <w:r w:rsidR="005D7AAD" w:rsidRPr="00914C12">
        <w:rPr>
          <w:rFonts w:ascii="Manrope" w:hAnsi="Manrope"/>
          <w:bCs/>
          <w:lang w:val="el-GR"/>
        </w:rPr>
        <w:t xml:space="preserve"> </w:t>
      </w:r>
      <w:r w:rsidR="003D4631">
        <w:rPr>
          <w:rFonts w:ascii="Manrope" w:hAnsi="Manrope"/>
          <w:bCs/>
          <w:lang w:val="el-GR"/>
        </w:rPr>
        <w:t>Νοεμβρίου</w:t>
      </w:r>
      <w:r w:rsidR="00136969" w:rsidRPr="00914C12">
        <w:rPr>
          <w:rFonts w:ascii="Manrope" w:hAnsi="Manrope"/>
          <w:bCs/>
          <w:lang w:val="el-GR"/>
        </w:rPr>
        <w:t>.</w:t>
      </w:r>
    </w:p>
    <w:p w14:paraId="363E5026" w14:textId="4CC13E74" w:rsidR="00ED3CD7" w:rsidRPr="00914C12" w:rsidRDefault="009875EE" w:rsidP="009875EE">
      <w:pPr>
        <w:spacing w:line="360" w:lineRule="auto"/>
        <w:jc w:val="both"/>
        <w:rPr>
          <w:rFonts w:ascii="Manrope" w:hAnsi="Manrope"/>
          <w:bCs/>
          <w:lang w:val="el-GR"/>
        </w:rPr>
      </w:pPr>
      <w:r w:rsidRPr="00914C12">
        <w:rPr>
          <w:rFonts w:ascii="Manrope" w:hAnsi="Manrope"/>
          <w:bCs/>
          <w:lang w:val="el-GR"/>
        </w:rPr>
        <w:t xml:space="preserve">Ειδικότερα, η εικόνα της χρηματιστηριακής αγοράς </w:t>
      </w:r>
      <w:r w:rsidR="00E47A2B" w:rsidRPr="00914C12">
        <w:rPr>
          <w:rFonts w:ascii="Manrope" w:hAnsi="Manrope"/>
          <w:bCs/>
          <w:lang w:val="el-GR"/>
        </w:rPr>
        <w:t xml:space="preserve">σύμφωνα με τα στοιχεία του νέου </w:t>
      </w:r>
      <w:proofErr w:type="spellStart"/>
      <w:r w:rsidR="00E47A2B" w:rsidRPr="003D4631">
        <w:rPr>
          <w:rFonts w:ascii="Manrope" w:hAnsi="Manrope"/>
          <w:b/>
          <w:bCs/>
          <w:lang w:val="en-US"/>
        </w:rPr>
        <w:t>AXIANumbers</w:t>
      </w:r>
      <w:proofErr w:type="spellEnd"/>
      <w:r w:rsidR="00E47A2B" w:rsidRPr="003D4631">
        <w:rPr>
          <w:rFonts w:ascii="Manrope" w:hAnsi="Manrope"/>
          <w:b/>
          <w:bCs/>
          <w:lang w:val="el-GR"/>
        </w:rPr>
        <w:t xml:space="preserve"> </w:t>
      </w:r>
      <w:r w:rsidR="003D4631" w:rsidRPr="003D4631">
        <w:rPr>
          <w:rFonts w:ascii="Manrope" w:hAnsi="Manrope"/>
          <w:b/>
          <w:bCs/>
          <w:lang w:val="el-GR"/>
        </w:rPr>
        <w:t>Δεκεμ</w:t>
      </w:r>
      <w:r w:rsidR="008F13D7" w:rsidRPr="003D4631">
        <w:rPr>
          <w:rFonts w:ascii="Manrope" w:hAnsi="Manrope"/>
          <w:b/>
          <w:bCs/>
          <w:lang w:val="el-GR"/>
        </w:rPr>
        <w:t>βρίου</w:t>
      </w:r>
      <w:r w:rsidR="00550648" w:rsidRPr="003D4631">
        <w:rPr>
          <w:rFonts w:ascii="Manrope" w:hAnsi="Manrope"/>
          <w:b/>
          <w:bCs/>
          <w:lang w:val="el-GR"/>
        </w:rPr>
        <w:t xml:space="preserve"> 202</w:t>
      </w:r>
      <w:r w:rsidR="00882B71" w:rsidRPr="003D4631">
        <w:rPr>
          <w:rFonts w:ascii="Manrope" w:hAnsi="Manrope"/>
          <w:b/>
          <w:bCs/>
          <w:lang w:val="el-GR"/>
        </w:rPr>
        <w:t>4</w:t>
      </w:r>
      <w:r w:rsidR="00E47A2B" w:rsidRPr="00914C12">
        <w:rPr>
          <w:rFonts w:ascii="Manrope" w:hAnsi="Manrope"/>
          <w:bCs/>
          <w:lang w:val="el-GR"/>
        </w:rPr>
        <w:t xml:space="preserve">, </w:t>
      </w:r>
      <w:r w:rsidRPr="00914C12">
        <w:rPr>
          <w:rFonts w:ascii="Manrope" w:hAnsi="Manrope"/>
          <w:bCs/>
          <w:lang w:val="el-GR"/>
        </w:rPr>
        <w:t>διαμορφώθηκε ως εξής:</w:t>
      </w:r>
    </w:p>
    <w:p w14:paraId="5FF71827" w14:textId="4C317A5D" w:rsidR="008B424F" w:rsidRPr="00914C12" w:rsidRDefault="00E47A2B" w:rsidP="008B424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l-GR"/>
        </w:rPr>
      </w:pPr>
      <w:r w:rsidRPr="00914C12">
        <w:rPr>
          <w:rFonts w:ascii="Manrope" w:hAnsi="Manrope"/>
          <w:bCs/>
          <w:lang w:val="el-GR"/>
        </w:rPr>
        <w:t>Δ</w:t>
      </w:r>
      <w:r w:rsidR="00A87780" w:rsidRPr="00914C12">
        <w:rPr>
          <w:rFonts w:ascii="Manrope" w:hAnsi="Manrope"/>
          <w:bCs/>
          <w:lang w:val="el-GR"/>
        </w:rPr>
        <w:t xml:space="preserve">ημιουργήθηκαν </w:t>
      </w:r>
      <w:r w:rsidR="008B1DEF" w:rsidRPr="00914C12">
        <w:rPr>
          <w:rFonts w:ascii="Manrope" w:hAnsi="Manrope"/>
          <w:b/>
          <w:bCs/>
          <w:lang w:val="el-GR"/>
        </w:rPr>
        <w:t>1.2</w:t>
      </w:r>
      <w:r w:rsidR="003D4631">
        <w:rPr>
          <w:rFonts w:ascii="Manrope" w:hAnsi="Manrope"/>
          <w:b/>
          <w:bCs/>
          <w:lang w:val="el-GR"/>
        </w:rPr>
        <w:t>88</w:t>
      </w:r>
      <w:r w:rsidR="00A87780" w:rsidRPr="00914C12">
        <w:rPr>
          <w:rFonts w:ascii="Manrope" w:hAnsi="Manrope"/>
          <w:b/>
          <w:bCs/>
          <w:lang w:val="el-GR"/>
        </w:rPr>
        <w:t xml:space="preserve"> νέοι λογαριασμοί </w:t>
      </w:r>
      <w:r w:rsidRPr="00914C12">
        <w:rPr>
          <w:rFonts w:ascii="Manrope" w:hAnsi="Manrope"/>
          <w:b/>
          <w:bCs/>
          <w:lang w:val="el-GR"/>
        </w:rPr>
        <w:t xml:space="preserve">πελάτη και </w:t>
      </w:r>
      <w:r w:rsidR="00A87780" w:rsidRPr="00914C12">
        <w:rPr>
          <w:rFonts w:ascii="Manrope" w:hAnsi="Manrope"/>
          <w:b/>
          <w:bCs/>
          <w:lang w:val="el-GR"/>
        </w:rPr>
        <w:t>εγγεγραμμένων διαμεσολαβητών</w:t>
      </w:r>
      <w:r w:rsidR="001A430A" w:rsidRPr="00914C12">
        <w:rPr>
          <w:rFonts w:ascii="Manrope" w:hAnsi="Manrope"/>
          <w:bCs/>
          <w:lang w:val="el-GR"/>
        </w:rPr>
        <w:t xml:space="preserve"> </w:t>
      </w:r>
      <w:r w:rsidR="007E667A" w:rsidRPr="00914C12">
        <w:rPr>
          <w:rFonts w:ascii="Manrope" w:hAnsi="Manrope"/>
          <w:bCs/>
          <w:lang w:val="el-GR"/>
        </w:rPr>
        <w:t>(</w:t>
      </w:r>
      <w:r w:rsidR="001A430A" w:rsidRPr="00914C12">
        <w:rPr>
          <w:rFonts w:ascii="Manrope" w:hAnsi="Manrope"/>
          <w:bCs/>
          <w:lang w:val="el-GR"/>
        </w:rPr>
        <w:t>§1.2</w:t>
      </w:r>
      <w:r w:rsidR="00DB4FAE" w:rsidRPr="00914C12">
        <w:rPr>
          <w:rStyle w:val="FootnoteReference"/>
          <w:rFonts w:ascii="Manrope" w:hAnsi="Manrope"/>
          <w:bCs/>
          <w:lang w:val="el-GR"/>
        </w:rPr>
        <w:footnoteReference w:id="1"/>
      </w:r>
      <w:r w:rsidR="007E667A" w:rsidRPr="00914C12">
        <w:rPr>
          <w:rFonts w:ascii="Manrope" w:hAnsi="Manrope"/>
          <w:bCs/>
          <w:lang w:val="el-GR"/>
        </w:rPr>
        <w:t>)</w:t>
      </w:r>
      <w:r w:rsidR="00A87780" w:rsidRPr="00914C12">
        <w:rPr>
          <w:rFonts w:ascii="Manrope" w:hAnsi="Manrope"/>
          <w:bCs/>
          <w:lang w:val="el-GR"/>
        </w:rPr>
        <w:t xml:space="preserve">, </w:t>
      </w:r>
      <w:r w:rsidRPr="00914C12">
        <w:rPr>
          <w:rFonts w:ascii="Manrope" w:hAnsi="Manrope"/>
          <w:bCs/>
          <w:lang w:val="el-GR"/>
        </w:rPr>
        <w:t xml:space="preserve">σε σχέση με </w:t>
      </w:r>
      <w:r w:rsidR="003D4631">
        <w:rPr>
          <w:rFonts w:ascii="Manrope" w:hAnsi="Manrope"/>
          <w:b/>
          <w:bCs/>
          <w:lang w:val="el-GR"/>
        </w:rPr>
        <w:t>1.236</w:t>
      </w:r>
      <w:r w:rsidR="00882B95" w:rsidRPr="00914C12">
        <w:rPr>
          <w:rFonts w:ascii="Manrope" w:hAnsi="Manrope"/>
          <w:b/>
          <w:bCs/>
          <w:lang w:val="el-GR"/>
        </w:rPr>
        <w:t xml:space="preserve"> </w:t>
      </w:r>
      <w:r w:rsidRPr="00914C12">
        <w:rPr>
          <w:rFonts w:ascii="Manrope" w:hAnsi="Manrope"/>
          <w:bCs/>
          <w:lang w:val="el-GR"/>
        </w:rPr>
        <w:t>νέους</w:t>
      </w:r>
      <w:r w:rsidR="004130BE" w:rsidRPr="00914C12">
        <w:rPr>
          <w:rFonts w:ascii="Manrope" w:hAnsi="Manrope"/>
          <w:bCs/>
          <w:lang w:val="el-GR"/>
        </w:rPr>
        <w:t xml:space="preserve"> λογαριασμούς τον </w:t>
      </w:r>
      <w:r w:rsidR="003D4631">
        <w:rPr>
          <w:rFonts w:ascii="Manrope" w:hAnsi="Manrope"/>
          <w:bCs/>
          <w:lang w:val="el-GR"/>
        </w:rPr>
        <w:t>Νοέμ</w:t>
      </w:r>
      <w:r w:rsidR="00882B95" w:rsidRPr="00914C12">
        <w:rPr>
          <w:rFonts w:ascii="Manrope" w:hAnsi="Manrope"/>
          <w:bCs/>
          <w:lang w:val="el-GR"/>
        </w:rPr>
        <w:t>βριο</w:t>
      </w:r>
      <w:r w:rsidR="004130BE" w:rsidRPr="00914C12">
        <w:rPr>
          <w:rFonts w:ascii="Manrope" w:hAnsi="Manrope"/>
          <w:bCs/>
          <w:lang w:val="el-GR"/>
        </w:rPr>
        <w:t xml:space="preserve">, ενώ οι </w:t>
      </w:r>
      <w:r w:rsidR="00A87780" w:rsidRPr="00914C12">
        <w:rPr>
          <w:rFonts w:ascii="Manrope" w:hAnsi="Manrope"/>
          <w:b/>
          <w:bCs/>
          <w:lang w:val="el-GR"/>
        </w:rPr>
        <w:t xml:space="preserve">Συλλογικοί Λογαριασμοί </w:t>
      </w:r>
      <w:r w:rsidR="00D00E02" w:rsidRPr="00914C12">
        <w:rPr>
          <w:rFonts w:ascii="Manrope" w:hAnsi="Manrope"/>
          <w:b/>
          <w:bCs/>
          <w:lang w:val="el-GR"/>
        </w:rPr>
        <w:t>Πελατε</w:t>
      </w:r>
      <w:bookmarkStart w:id="0" w:name="_GoBack"/>
      <w:bookmarkEnd w:id="0"/>
      <w:r w:rsidR="00D00E02" w:rsidRPr="00914C12">
        <w:rPr>
          <w:rFonts w:ascii="Manrope" w:hAnsi="Manrope"/>
          <w:b/>
          <w:bCs/>
          <w:lang w:val="el-GR"/>
        </w:rPr>
        <w:t>ίας</w:t>
      </w:r>
      <w:r w:rsidR="00D00E02" w:rsidRPr="00914C12">
        <w:rPr>
          <w:rStyle w:val="FootnoteReference"/>
          <w:rFonts w:ascii="Manrope" w:hAnsi="Manrope"/>
          <w:bCs/>
          <w:lang w:val="el-GR"/>
        </w:rPr>
        <w:footnoteReference w:id="2"/>
      </w:r>
      <w:r w:rsidR="005C2992" w:rsidRPr="00914C12">
        <w:rPr>
          <w:rFonts w:ascii="Manrope" w:hAnsi="Manrope"/>
          <w:bCs/>
          <w:lang w:val="el-GR"/>
        </w:rPr>
        <w:t xml:space="preserve"> </w:t>
      </w:r>
      <w:r w:rsidR="00A87780" w:rsidRPr="00914C12">
        <w:rPr>
          <w:rFonts w:ascii="Manrope" w:hAnsi="Manrope"/>
          <w:bCs/>
          <w:lang w:val="el-GR"/>
        </w:rPr>
        <w:t>στο σύνολό τους (Μερίδες Εγγεγραμμένων Διαμεσολαβητών και Μερίδες Ασφα</w:t>
      </w:r>
      <w:r w:rsidR="00D30C26" w:rsidRPr="00914C12">
        <w:rPr>
          <w:rFonts w:ascii="Manrope" w:hAnsi="Manrope"/>
          <w:bCs/>
          <w:lang w:val="el-GR"/>
        </w:rPr>
        <w:t xml:space="preserve">λειών), κατέχουν </w:t>
      </w:r>
      <w:r w:rsidR="00AF1AFB" w:rsidRPr="00914C12">
        <w:rPr>
          <w:rFonts w:ascii="Manrope" w:hAnsi="Manrope"/>
          <w:b/>
          <w:bCs/>
          <w:lang w:val="el-GR"/>
        </w:rPr>
        <w:t>€2</w:t>
      </w:r>
      <w:r w:rsidR="00D30C26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72</w:t>
      </w:r>
      <w:r w:rsidR="006A666C" w:rsidRPr="00914C12">
        <w:rPr>
          <w:rFonts w:ascii="Manrope" w:hAnsi="Manrope"/>
          <w:b/>
          <w:bCs/>
          <w:lang w:val="el-GR"/>
        </w:rPr>
        <w:t xml:space="preserve"> </w:t>
      </w:r>
      <w:r w:rsidR="00F7062F" w:rsidRPr="00914C12">
        <w:rPr>
          <w:rFonts w:ascii="Manrope" w:hAnsi="Manrope"/>
          <w:b/>
          <w:bCs/>
          <w:lang w:val="el-GR"/>
        </w:rPr>
        <w:t>δις</w:t>
      </w:r>
      <w:r w:rsidR="00D30C26" w:rsidRPr="00914C12">
        <w:rPr>
          <w:rFonts w:ascii="Manrope" w:hAnsi="Manrope"/>
          <w:bCs/>
          <w:lang w:val="el-GR"/>
        </w:rPr>
        <w:t xml:space="preserve"> (</w:t>
      </w:r>
      <w:r w:rsidR="003D4631">
        <w:rPr>
          <w:rFonts w:ascii="Manrope" w:hAnsi="Manrope"/>
          <w:bCs/>
          <w:lang w:val="el-GR"/>
        </w:rPr>
        <w:t>2,92</w:t>
      </w:r>
      <w:r w:rsidR="00A87780" w:rsidRPr="00914C12">
        <w:rPr>
          <w:rFonts w:ascii="Manrope" w:hAnsi="Manrope"/>
          <w:bCs/>
          <w:lang w:val="el-GR"/>
        </w:rPr>
        <w:t xml:space="preserve">% της συνολικής </w:t>
      </w:r>
      <w:r w:rsidR="00997C3B" w:rsidRPr="00914C12">
        <w:rPr>
          <w:rFonts w:ascii="Manrope" w:hAnsi="Manrope"/>
          <w:bCs/>
          <w:lang w:val="el-GR"/>
        </w:rPr>
        <w:t>Αξίας Χαρτοφυλακίου</w:t>
      </w:r>
      <w:r w:rsidR="007E667A" w:rsidRPr="00914C12">
        <w:rPr>
          <w:rFonts w:ascii="Manrope" w:hAnsi="Manrope"/>
          <w:bCs/>
          <w:lang w:val="el-GR"/>
        </w:rPr>
        <w:t xml:space="preserve"> -</w:t>
      </w:r>
      <w:r w:rsidR="001A430A" w:rsidRPr="00914C12">
        <w:rPr>
          <w:rFonts w:ascii="Manrope" w:hAnsi="Manrope"/>
          <w:bCs/>
          <w:lang w:val="el-GR"/>
        </w:rPr>
        <w:t xml:space="preserve"> §</w:t>
      </w:r>
      <w:r w:rsidR="000C0D29" w:rsidRPr="00914C12">
        <w:rPr>
          <w:rFonts w:ascii="Manrope" w:hAnsi="Manrope"/>
          <w:bCs/>
          <w:lang w:val="el-GR"/>
        </w:rPr>
        <w:t>3.1</w:t>
      </w:r>
      <w:r w:rsidR="004130BE" w:rsidRPr="00914C12">
        <w:rPr>
          <w:rFonts w:ascii="Manrope" w:hAnsi="Manrope"/>
          <w:bCs/>
          <w:lang w:val="el-GR"/>
        </w:rPr>
        <w:t>)</w:t>
      </w:r>
      <w:r w:rsidR="00D44D80" w:rsidRPr="00914C12">
        <w:rPr>
          <w:rFonts w:ascii="Manrope" w:hAnsi="Manrope"/>
          <w:bCs/>
          <w:lang w:val="el-GR"/>
        </w:rPr>
        <w:t>.</w:t>
      </w:r>
    </w:p>
    <w:p w14:paraId="7C7963CB" w14:textId="1491B391" w:rsidR="00557326" w:rsidRPr="00914C12" w:rsidRDefault="004130BE" w:rsidP="00557326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l-GR"/>
        </w:rPr>
      </w:pPr>
      <w:r w:rsidRPr="00914C12">
        <w:rPr>
          <w:rFonts w:ascii="Manrope" w:hAnsi="Manrope"/>
          <w:bCs/>
          <w:lang w:val="el-GR"/>
        </w:rPr>
        <w:t xml:space="preserve">Η </w:t>
      </w:r>
      <w:r w:rsidRPr="00914C12">
        <w:rPr>
          <w:rFonts w:ascii="Manrope" w:hAnsi="Manrope"/>
          <w:b/>
          <w:bCs/>
          <w:lang w:val="el-GR"/>
        </w:rPr>
        <w:t>Κ</w:t>
      </w:r>
      <w:r w:rsidR="009A36E3" w:rsidRPr="00914C12">
        <w:rPr>
          <w:rFonts w:ascii="Manrope" w:hAnsi="Manrope"/>
          <w:b/>
          <w:bCs/>
          <w:lang w:val="el-GR"/>
        </w:rPr>
        <w:t>εφαλαιοποίηση</w:t>
      </w:r>
      <w:r w:rsidR="009A36E3" w:rsidRPr="00914C12">
        <w:rPr>
          <w:rFonts w:ascii="Manrope" w:hAnsi="Manrope"/>
          <w:bCs/>
          <w:lang w:val="el-GR"/>
        </w:rPr>
        <w:t xml:space="preserve"> του ΧΑ </w:t>
      </w:r>
      <w:r w:rsidR="00B21698" w:rsidRPr="00914C12">
        <w:rPr>
          <w:rFonts w:ascii="Manrope" w:hAnsi="Manrope"/>
          <w:bCs/>
          <w:lang w:val="el-GR"/>
        </w:rPr>
        <w:t xml:space="preserve"> διαμορφώθηκε</w:t>
      </w:r>
      <w:r w:rsidR="009A36E3" w:rsidRPr="00914C12">
        <w:rPr>
          <w:rFonts w:ascii="Manrope" w:hAnsi="Manrope"/>
          <w:bCs/>
          <w:lang w:val="el-GR"/>
        </w:rPr>
        <w:t xml:space="preserve"> στο τέλος του μήνα στα </w:t>
      </w:r>
      <w:r w:rsidR="00F7062F" w:rsidRPr="00914C12">
        <w:rPr>
          <w:rFonts w:ascii="Manrope" w:hAnsi="Manrope"/>
          <w:b/>
          <w:bCs/>
          <w:lang w:val="el-GR"/>
        </w:rPr>
        <w:t>€</w:t>
      </w:r>
      <w:r w:rsidR="003D4631">
        <w:rPr>
          <w:rFonts w:ascii="Manrope" w:hAnsi="Manrope"/>
          <w:b/>
          <w:bCs/>
          <w:lang w:val="el-GR"/>
        </w:rPr>
        <w:t>93</w:t>
      </w:r>
      <w:r w:rsidR="00752FF1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22</w:t>
      </w:r>
      <w:r w:rsidR="00F7062F" w:rsidRPr="00914C12">
        <w:rPr>
          <w:rFonts w:ascii="Manrope" w:hAnsi="Manrope"/>
          <w:b/>
          <w:bCs/>
          <w:lang w:val="el-GR"/>
        </w:rPr>
        <w:t xml:space="preserve"> δις</w:t>
      </w:r>
      <w:r w:rsidR="00D30C26" w:rsidRPr="00914C12">
        <w:rPr>
          <w:rFonts w:ascii="Manrope" w:hAnsi="Manrope"/>
          <w:bCs/>
          <w:lang w:val="el-GR"/>
        </w:rPr>
        <w:t>,</w:t>
      </w:r>
      <w:r w:rsidR="009A36E3" w:rsidRPr="00914C12">
        <w:rPr>
          <w:rFonts w:ascii="Manrope" w:hAnsi="Manrope"/>
          <w:bCs/>
          <w:lang w:val="el-GR"/>
        </w:rPr>
        <w:t xml:space="preserve"> </w:t>
      </w:r>
      <w:r w:rsidR="00D30C26" w:rsidRPr="00914C12">
        <w:rPr>
          <w:rFonts w:ascii="Manrope" w:hAnsi="Manrope"/>
          <w:bCs/>
          <w:lang w:val="el-GR"/>
        </w:rPr>
        <w:t xml:space="preserve">παρουσιάζοντας </w:t>
      </w:r>
      <w:r w:rsidR="008B1DEF" w:rsidRPr="00914C12">
        <w:rPr>
          <w:rFonts w:ascii="Manrope" w:hAnsi="Manrope"/>
          <w:bCs/>
          <w:lang w:val="el-GR"/>
        </w:rPr>
        <w:t>αύξηση κατά</w:t>
      </w:r>
      <w:r w:rsidR="00B21698" w:rsidRPr="00914C12">
        <w:rPr>
          <w:rFonts w:ascii="Manrope" w:hAnsi="Manrope"/>
          <w:bCs/>
          <w:lang w:val="el-GR"/>
        </w:rPr>
        <w:t xml:space="preserve"> </w:t>
      </w:r>
      <w:r w:rsidR="003D4631">
        <w:rPr>
          <w:rFonts w:ascii="Manrope" w:hAnsi="Manrope"/>
          <w:b/>
          <w:bCs/>
          <w:lang w:val="el-GR"/>
        </w:rPr>
        <w:t>5</w:t>
      </w:r>
      <w:r w:rsidR="00752FF1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70</w:t>
      </w:r>
      <w:r w:rsidR="00D30C26" w:rsidRPr="00914C12">
        <w:rPr>
          <w:rFonts w:ascii="Manrope" w:hAnsi="Manrope"/>
          <w:b/>
          <w:bCs/>
          <w:lang w:val="el-GR"/>
        </w:rPr>
        <w:t>%</w:t>
      </w:r>
      <w:r w:rsidR="00D30C26" w:rsidRPr="00914C12">
        <w:rPr>
          <w:rFonts w:ascii="Manrope" w:hAnsi="Manrope"/>
          <w:bCs/>
          <w:lang w:val="el-GR"/>
        </w:rPr>
        <w:t xml:space="preserve">, </w:t>
      </w:r>
      <w:r w:rsidR="009A36E3" w:rsidRPr="00914C12">
        <w:rPr>
          <w:rFonts w:ascii="Manrope" w:hAnsi="Manrope"/>
          <w:bCs/>
          <w:lang w:val="el-GR"/>
        </w:rPr>
        <w:t xml:space="preserve">σε σχέση </w:t>
      </w:r>
      <w:r w:rsidR="002D770A" w:rsidRPr="00914C12">
        <w:rPr>
          <w:rFonts w:ascii="Manrope" w:hAnsi="Manrope"/>
          <w:bCs/>
          <w:lang w:val="el-GR"/>
        </w:rPr>
        <w:t xml:space="preserve">με τα επίπεδα του </w:t>
      </w:r>
      <w:r w:rsidR="003D4631">
        <w:rPr>
          <w:rFonts w:ascii="Manrope" w:hAnsi="Manrope"/>
          <w:bCs/>
          <w:lang w:val="el-GR"/>
        </w:rPr>
        <w:t>Νοεμ</w:t>
      </w:r>
      <w:r w:rsidR="008B1DEF" w:rsidRPr="00914C12">
        <w:rPr>
          <w:rFonts w:ascii="Manrope" w:hAnsi="Manrope"/>
          <w:bCs/>
          <w:lang w:val="el-GR"/>
        </w:rPr>
        <w:t>β</w:t>
      </w:r>
      <w:r w:rsidR="00882B95" w:rsidRPr="00914C12">
        <w:rPr>
          <w:rFonts w:ascii="Manrope" w:hAnsi="Manrope"/>
          <w:bCs/>
          <w:lang w:val="el-GR"/>
        </w:rPr>
        <w:t>ρίου</w:t>
      </w:r>
      <w:r w:rsidR="00450764" w:rsidRPr="00914C12">
        <w:rPr>
          <w:rFonts w:ascii="Manrope" w:hAnsi="Manrope"/>
          <w:bCs/>
          <w:lang w:val="el-GR"/>
        </w:rPr>
        <w:t xml:space="preserve"> </w:t>
      </w:r>
      <w:r w:rsidR="00B21698" w:rsidRPr="00914C12">
        <w:rPr>
          <w:rFonts w:ascii="Manrope" w:hAnsi="Manrope"/>
          <w:bCs/>
          <w:lang w:val="el-GR"/>
        </w:rPr>
        <w:t>(</w:t>
      </w:r>
      <w:r w:rsidR="00136819" w:rsidRPr="00914C12">
        <w:rPr>
          <w:rFonts w:ascii="Manrope" w:hAnsi="Manrope"/>
          <w:b/>
          <w:bCs/>
          <w:lang w:val="el-GR"/>
        </w:rPr>
        <w:t>€</w:t>
      </w:r>
      <w:r w:rsidR="003D4631">
        <w:rPr>
          <w:rFonts w:ascii="Manrope" w:hAnsi="Manrope"/>
          <w:b/>
          <w:bCs/>
          <w:lang w:val="el-GR"/>
        </w:rPr>
        <w:t>88</w:t>
      </w:r>
      <w:r w:rsidR="00882B95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20</w:t>
      </w:r>
      <w:r w:rsidR="00136819" w:rsidRPr="00914C12">
        <w:rPr>
          <w:rFonts w:ascii="Manrope" w:hAnsi="Manrope"/>
          <w:b/>
          <w:bCs/>
          <w:lang w:val="el-GR"/>
        </w:rPr>
        <w:t xml:space="preserve"> </w:t>
      </w:r>
      <w:r w:rsidR="00D30C26" w:rsidRPr="00914C12">
        <w:rPr>
          <w:rFonts w:ascii="Manrope" w:hAnsi="Manrope"/>
          <w:bCs/>
          <w:lang w:val="el-GR"/>
        </w:rPr>
        <w:t>δις</w:t>
      </w:r>
      <w:r w:rsidR="00B21698" w:rsidRPr="00914C12">
        <w:rPr>
          <w:rFonts w:ascii="Manrope" w:hAnsi="Manrope"/>
          <w:bCs/>
          <w:lang w:val="el-GR"/>
        </w:rPr>
        <w:t>)</w:t>
      </w:r>
      <w:r w:rsidR="00D44D80" w:rsidRPr="00914C12">
        <w:rPr>
          <w:rFonts w:ascii="Manrope" w:hAnsi="Manrope"/>
          <w:bCs/>
          <w:lang w:val="el-GR"/>
        </w:rPr>
        <w:t>.</w:t>
      </w:r>
    </w:p>
    <w:p w14:paraId="18F6275F" w14:textId="452F677F" w:rsidR="00D83E7A" w:rsidRPr="00914C12" w:rsidRDefault="007B409C" w:rsidP="0056249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l-GR"/>
        </w:rPr>
      </w:pPr>
      <w:r w:rsidRPr="00914C12">
        <w:rPr>
          <w:rFonts w:ascii="Manrope" w:hAnsi="Manrope"/>
          <w:bCs/>
          <w:lang w:val="el-GR"/>
        </w:rPr>
        <w:t xml:space="preserve">Η </w:t>
      </w:r>
      <w:r w:rsidRPr="00914C12">
        <w:rPr>
          <w:rFonts w:ascii="Manrope" w:hAnsi="Manrope"/>
          <w:b/>
          <w:bCs/>
          <w:lang w:val="el-GR"/>
        </w:rPr>
        <w:t>Αξία Συναλλαγών</w:t>
      </w:r>
      <w:r w:rsidRPr="00914C12">
        <w:rPr>
          <w:rFonts w:ascii="Manrope" w:hAnsi="Manrope"/>
          <w:bCs/>
          <w:lang w:val="el-GR"/>
        </w:rPr>
        <w:t xml:space="preserve"> </w:t>
      </w:r>
      <w:r w:rsidR="006A666C" w:rsidRPr="00914C12">
        <w:rPr>
          <w:rFonts w:ascii="Manrope" w:hAnsi="Manrope"/>
          <w:bCs/>
          <w:lang w:val="el-GR"/>
        </w:rPr>
        <w:t xml:space="preserve">για τον </w:t>
      </w:r>
      <w:r w:rsidR="003D4631">
        <w:rPr>
          <w:rFonts w:ascii="Manrope" w:hAnsi="Manrope"/>
          <w:bCs/>
          <w:lang w:val="el-GR"/>
        </w:rPr>
        <w:t>Δεκέμ</w:t>
      </w:r>
      <w:r w:rsidR="00882B95" w:rsidRPr="00914C12">
        <w:rPr>
          <w:rFonts w:ascii="Manrope" w:hAnsi="Manrope"/>
          <w:bCs/>
          <w:lang w:val="el-GR"/>
        </w:rPr>
        <w:t>βριο</w:t>
      </w:r>
      <w:r w:rsidR="00752FF1" w:rsidRPr="00914C12">
        <w:rPr>
          <w:rFonts w:ascii="Manrope" w:hAnsi="Manrope"/>
          <w:bCs/>
          <w:lang w:val="el-GR"/>
        </w:rPr>
        <w:t xml:space="preserve"> </w:t>
      </w:r>
      <w:r w:rsidR="005537BA" w:rsidRPr="00914C12">
        <w:rPr>
          <w:rFonts w:ascii="Manrope" w:hAnsi="Manrope"/>
          <w:bCs/>
          <w:lang w:val="el-GR"/>
        </w:rPr>
        <w:t xml:space="preserve">2024 </w:t>
      </w:r>
      <w:r w:rsidR="002D770A" w:rsidRPr="00914C12">
        <w:rPr>
          <w:rFonts w:ascii="Manrope" w:hAnsi="Manrope"/>
          <w:bCs/>
          <w:lang w:val="el-GR"/>
        </w:rPr>
        <w:t xml:space="preserve">έφτασε τα </w:t>
      </w:r>
      <w:bookmarkStart w:id="1" w:name="_Hlk105588454"/>
      <w:r w:rsidR="002D770A" w:rsidRPr="00914C12">
        <w:rPr>
          <w:rFonts w:ascii="Manrope" w:hAnsi="Manrope"/>
          <w:b/>
          <w:bCs/>
          <w:lang w:val="el-GR"/>
        </w:rPr>
        <w:t>€</w:t>
      </w:r>
      <w:bookmarkEnd w:id="1"/>
      <w:r w:rsidR="003D4631">
        <w:rPr>
          <w:rFonts w:ascii="Manrope" w:hAnsi="Manrope"/>
          <w:b/>
          <w:bCs/>
          <w:lang w:val="el-GR"/>
        </w:rPr>
        <w:t>2</w:t>
      </w:r>
      <w:r w:rsidR="00752FF1" w:rsidRPr="00914C12">
        <w:rPr>
          <w:rFonts w:ascii="Manrope" w:hAnsi="Manrope"/>
          <w:b/>
          <w:bCs/>
          <w:lang w:val="el-GR"/>
        </w:rPr>
        <w:t>.</w:t>
      </w:r>
      <w:r w:rsidR="003D4631">
        <w:rPr>
          <w:rFonts w:ascii="Manrope" w:hAnsi="Manrope"/>
          <w:b/>
          <w:bCs/>
          <w:lang w:val="el-GR"/>
        </w:rPr>
        <w:t>707</w:t>
      </w:r>
      <w:r w:rsidR="009D287F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23</w:t>
      </w:r>
      <w:r w:rsidR="009D287F" w:rsidRPr="00914C12">
        <w:rPr>
          <w:rFonts w:ascii="Manrope" w:hAnsi="Manrope"/>
          <w:b/>
          <w:bCs/>
          <w:lang w:val="el-GR"/>
        </w:rPr>
        <w:t xml:space="preserve"> </w:t>
      </w:r>
      <w:r w:rsidR="00F7062F" w:rsidRPr="00914C12">
        <w:rPr>
          <w:rFonts w:ascii="Manrope" w:hAnsi="Manrope"/>
          <w:bCs/>
          <w:lang w:val="el-GR"/>
        </w:rPr>
        <w:t>εκατ. σημειώνοντας</w:t>
      </w:r>
      <w:r w:rsidR="00F7062F" w:rsidRPr="00914C12">
        <w:rPr>
          <w:rFonts w:ascii="Manrope" w:hAnsi="Manrope"/>
          <w:b/>
          <w:bCs/>
          <w:lang w:val="el-GR"/>
        </w:rPr>
        <w:t xml:space="preserve"> </w:t>
      </w:r>
      <w:r w:rsidR="003D4631">
        <w:rPr>
          <w:rFonts w:ascii="Manrope" w:hAnsi="Manrope"/>
          <w:b/>
          <w:bCs/>
          <w:lang w:val="el-GR"/>
        </w:rPr>
        <w:t>μείωση</w:t>
      </w:r>
      <w:r w:rsidR="003F5097" w:rsidRPr="00914C12">
        <w:rPr>
          <w:rFonts w:ascii="Manrope" w:hAnsi="Manrope"/>
          <w:b/>
          <w:bCs/>
          <w:lang w:val="el-GR"/>
        </w:rPr>
        <w:t xml:space="preserve"> </w:t>
      </w:r>
      <w:r w:rsidR="00F7062F" w:rsidRPr="00914C12">
        <w:rPr>
          <w:rFonts w:ascii="Manrope" w:hAnsi="Manrope"/>
          <w:b/>
          <w:bCs/>
          <w:lang w:val="el-GR"/>
        </w:rPr>
        <w:t xml:space="preserve">κατά </w:t>
      </w:r>
      <w:r w:rsidR="003D4631">
        <w:rPr>
          <w:rFonts w:ascii="Manrope" w:hAnsi="Manrope"/>
          <w:b/>
          <w:bCs/>
          <w:lang w:val="el-GR"/>
        </w:rPr>
        <w:t>34</w:t>
      </w:r>
      <w:r w:rsidR="00562497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76</w:t>
      </w:r>
      <w:r w:rsidRPr="00914C12">
        <w:rPr>
          <w:rFonts w:ascii="Manrope" w:hAnsi="Manrope"/>
          <w:b/>
          <w:bCs/>
          <w:lang w:val="el-GR"/>
        </w:rPr>
        <w:t>%</w:t>
      </w:r>
      <w:r w:rsidRPr="00914C12">
        <w:rPr>
          <w:rFonts w:ascii="Manrope" w:hAnsi="Manrope"/>
          <w:bCs/>
          <w:lang w:val="el-GR"/>
        </w:rPr>
        <w:t xml:space="preserve"> από τη συναλλακτική δραστηριότητα</w:t>
      </w:r>
      <w:r w:rsidR="000857CB" w:rsidRPr="00914C12">
        <w:rPr>
          <w:rFonts w:ascii="Manrope" w:hAnsi="Manrope"/>
          <w:bCs/>
          <w:lang w:val="el-GR"/>
        </w:rPr>
        <w:t xml:space="preserve"> </w:t>
      </w:r>
      <w:r w:rsidRPr="00914C12">
        <w:rPr>
          <w:rFonts w:ascii="Manrope" w:hAnsi="Manrope"/>
          <w:bCs/>
          <w:lang w:val="el-GR"/>
        </w:rPr>
        <w:t>του π</w:t>
      </w:r>
      <w:r w:rsidR="004130BE" w:rsidRPr="00914C12">
        <w:rPr>
          <w:rFonts w:ascii="Manrope" w:hAnsi="Manrope"/>
          <w:bCs/>
          <w:lang w:val="el-GR"/>
        </w:rPr>
        <w:t xml:space="preserve">ροηγούμενου μήνα που ήταν </w:t>
      </w:r>
      <w:r w:rsidR="003D4631" w:rsidRPr="00914C12">
        <w:rPr>
          <w:rFonts w:ascii="Manrope" w:hAnsi="Manrope"/>
          <w:b/>
          <w:bCs/>
          <w:lang w:val="el-GR"/>
        </w:rPr>
        <w:t xml:space="preserve">€4.149,92 </w:t>
      </w:r>
      <w:r w:rsidRPr="00914C12">
        <w:rPr>
          <w:rFonts w:ascii="Manrope" w:hAnsi="Manrope"/>
          <w:bCs/>
          <w:lang w:val="el-GR"/>
        </w:rPr>
        <w:t>εκατ.</w:t>
      </w:r>
      <w:r w:rsidR="00F7062F" w:rsidRPr="00914C12">
        <w:rPr>
          <w:rFonts w:ascii="Manrope" w:hAnsi="Manrope"/>
          <w:bCs/>
          <w:lang w:val="el-GR"/>
        </w:rPr>
        <w:t>, ενώ σ</w:t>
      </w:r>
      <w:r w:rsidRPr="00914C12">
        <w:rPr>
          <w:rFonts w:ascii="Manrope" w:hAnsi="Manrope"/>
          <w:bCs/>
          <w:lang w:val="el-GR"/>
        </w:rPr>
        <w:t>ε σχέση με το</w:t>
      </w:r>
      <w:r w:rsidR="000F401A" w:rsidRPr="00914C12">
        <w:rPr>
          <w:rFonts w:ascii="Manrope" w:hAnsi="Manrope"/>
          <w:bCs/>
          <w:lang w:val="el-GR"/>
        </w:rPr>
        <w:t>ν</w:t>
      </w:r>
      <w:r w:rsidRPr="00914C12">
        <w:rPr>
          <w:rFonts w:ascii="Manrope" w:hAnsi="Manrope"/>
          <w:bCs/>
          <w:lang w:val="el-GR"/>
        </w:rPr>
        <w:t xml:space="preserve"> </w:t>
      </w:r>
      <w:r w:rsidR="003D4631">
        <w:rPr>
          <w:rFonts w:ascii="Manrope" w:hAnsi="Manrope"/>
          <w:bCs/>
          <w:lang w:val="el-GR"/>
        </w:rPr>
        <w:t>Δεκέμ</w:t>
      </w:r>
      <w:r w:rsidR="00882B95" w:rsidRPr="00914C12">
        <w:rPr>
          <w:rFonts w:ascii="Manrope" w:hAnsi="Manrope"/>
          <w:bCs/>
          <w:lang w:val="el-GR"/>
        </w:rPr>
        <w:t>βριο</w:t>
      </w:r>
      <w:r w:rsidR="003F5097" w:rsidRPr="00914C12">
        <w:rPr>
          <w:rFonts w:ascii="Manrope" w:hAnsi="Manrope"/>
          <w:bCs/>
          <w:lang w:val="el-GR"/>
        </w:rPr>
        <w:t xml:space="preserve"> </w:t>
      </w:r>
      <w:r w:rsidR="00076E3C" w:rsidRPr="00914C12">
        <w:rPr>
          <w:rFonts w:ascii="Manrope" w:hAnsi="Manrope"/>
          <w:bCs/>
          <w:lang w:val="el-GR"/>
        </w:rPr>
        <w:t>202</w:t>
      </w:r>
      <w:r w:rsidR="005537BA" w:rsidRPr="00914C12">
        <w:rPr>
          <w:rFonts w:ascii="Manrope" w:hAnsi="Manrope"/>
          <w:bCs/>
          <w:lang w:val="el-GR"/>
        </w:rPr>
        <w:t>3</w:t>
      </w:r>
      <w:r w:rsidRPr="00914C12">
        <w:rPr>
          <w:rFonts w:ascii="Manrope" w:hAnsi="Manrope"/>
          <w:bCs/>
          <w:lang w:val="el-GR"/>
        </w:rPr>
        <w:t xml:space="preserve"> που η αξία συναλλαγών ήταν </w:t>
      </w:r>
      <w:r w:rsidR="00E14B9B" w:rsidRPr="003D4631">
        <w:rPr>
          <w:rFonts w:ascii="Manrope" w:hAnsi="Manrope"/>
          <w:b/>
          <w:bCs/>
          <w:lang w:val="el-GR"/>
        </w:rPr>
        <w:t>€</w:t>
      </w:r>
      <w:r w:rsidR="003D4631" w:rsidRPr="003D4631">
        <w:rPr>
          <w:rFonts w:ascii="Manrope" w:hAnsi="Manrope"/>
          <w:b/>
          <w:bCs/>
          <w:lang w:val="el-GR"/>
        </w:rPr>
        <w:t>1</w:t>
      </w:r>
      <w:r w:rsidR="00015DC5" w:rsidRPr="003D4631">
        <w:rPr>
          <w:rFonts w:ascii="Manrope" w:hAnsi="Manrope"/>
          <w:b/>
          <w:bCs/>
          <w:lang w:val="el-GR"/>
        </w:rPr>
        <w:t>.</w:t>
      </w:r>
      <w:r w:rsidR="003D4631" w:rsidRPr="003D4631">
        <w:rPr>
          <w:rFonts w:ascii="Manrope" w:hAnsi="Manrope"/>
          <w:b/>
          <w:bCs/>
          <w:lang w:val="el-GR"/>
        </w:rPr>
        <w:t>899,19</w:t>
      </w:r>
      <w:r w:rsidR="00562497" w:rsidRPr="00914C12">
        <w:rPr>
          <w:rFonts w:ascii="Manrope" w:hAnsi="Manrope"/>
          <w:bCs/>
          <w:lang w:val="el-GR"/>
        </w:rPr>
        <w:t xml:space="preserve"> </w:t>
      </w:r>
      <w:r w:rsidRPr="00914C12">
        <w:rPr>
          <w:rFonts w:ascii="Manrope" w:hAnsi="Manrope"/>
          <w:bCs/>
          <w:lang w:val="el-GR"/>
        </w:rPr>
        <w:t>εκατ., σημειώ</w:t>
      </w:r>
      <w:r w:rsidR="00F7062F" w:rsidRPr="00914C12">
        <w:rPr>
          <w:rFonts w:ascii="Manrope" w:hAnsi="Manrope"/>
          <w:bCs/>
          <w:lang w:val="el-GR"/>
        </w:rPr>
        <w:t xml:space="preserve">θηκε </w:t>
      </w:r>
      <w:r w:rsidR="00BD200F" w:rsidRPr="00914C12">
        <w:rPr>
          <w:rFonts w:ascii="Manrope" w:hAnsi="Manrope"/>
          <w:b/>
          <w:bCs/>
          <w:lang w:val="el-GR"/>
        </w:rPr>
        <w:t>αύξηση</w:t>
      </w:r>
      <w:r w:rsidR="00C8625C" w:rsidRPr="00914C12">
        <w:rPr>
          <w:rFonts w:ascii="Manrope" w:hAnsi="Manrope"/>
          <w:bCs/>
          <w:lang w:val="el-GR"/>
        </w:rPr>
        <w:t xml:space="preserve"> </w:t>
      </w:r>
      <w:r w:rsidR="003D4631">
        <w:rPr>
          <w:rFonts w:ascii="Manrope" w:hAnsi="Manrope"/>
          <w:b/>
          <w:bCs/>
          <w:lang w:val="el-GR"/>
        </w:rPr>
        <w:t>42,55</w:t>
      </w:r>
      <w:r w:rsidR="00F7062F" w:rsidRPr="00914C12">
        <w:rPr>
          <w:rFonts w:ascii="Manrope" w:hAnsi="Manrope"/>
          <w:b/>
          <w:bCs/>
          <w:lang w:val="el-GR"/>
        </w:rPr>
        <w:t>%</w:t>
      </w:r>
      <w:r w:rsidR="00D44D80" w:rsidRPr="00914C12">
        <w:rPr>
          <w:rFonts w:ascii="Manrope" w:hAnsi="Manrope"/>
          <w:bCs/>
          <w:lang w:val="el-GR"/>
        </w:rPr>
        <w:t>.</w:t>
      </w:r>
    </w:p>
    <w:p w14:paraId="0B677C7A" w14:textId="0CAC8472" w:rsidR="0009759B" w:rsidRDefault="005651BD" w:rsidP="0056249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l-GR"/>
        </w:rPr>
      </w:pPr>
      <w:r w:rsidRPr="00914C12">
        <w:rPr>
          <w:rFonts w:ascii="Manrope" w:hAnsi="Manrope"/>
          <w:bCs/>
          <w:lang w:val="el-GR"/>
        </w:rPr>
        <w:t xml:space="preserve">Οι </w:t>
      </w:r>
      <w:r w:rsidRPr="00914C12">
        <w:rPr>
          <w:rFonts w:ascii="Manrope" w:hAnsi="Manrope"/>
          <w:b/>
          <w:lang w:val="el-GR"/>
        </w:rPr>
        <w:t>Αλλοδαποί Δικαιούχοι Μερίδων</w:t>
      </w:r>
      <w:r w:rsidRPr="00914C12">
        <w:rPr>
          <w:rFonts w:ascii="Manrope" w:hAnsi="Manrope"/>
          <w:bCs/>
          <w:lang w:val="el-GR"/>
        </w:rPr>
        <w:t xml:space="preserve"> πραγματοποίησαν </w:t>
      </w:r>
      <w:r w:rsidR="00752FF1" w:rsidRPr="00914C12">
        <w:rPr>
          <w:rFonts w:ascii="Manrope" w:hAnsi="Manrope"/>
          <w:b/>
          <w:bCs/>
          <w:lang w:val="el-GR"/>
        </w:rPr>
        <w:t>ε</w:t>
      </w:r>
      <w:r w:rsidR="008B1DEF" w:rsidRPr="00914C12">
        <w:rPr>
          <w:rFonts w:ascii="Manrope" w:hAnsi="Manrope"/>
          <w:b/>
          <w:bCs/>
          <w:lang w:val="el-GR"/>
        </w:rPr>
        <w:t>κ</w:t>
      </w:r>
      <w:r w:rsidR="004166F0" w:rsidRPr="00914C12">
        <w:rPr>
          <w:rFonts w:ascii="Manrope" w:hAnsi="Manrope"/>
          <w:b/>
          <w:bCs/>
          <w:lang w:val="el-GR"/>
        </w:rPr>
        <w:t>ροές</w:t>
      </w:r>
      <w:r w:rsidRPr="00914C12">
        <w:rPr>
          <w:rFonts w:ascii="Manrope" w:hAnsi="Manrope"/>
          <w:b/>
          <w:bCs/>
          <w:lang w:val="el-GR"/>
        </w:rPr>
        <w:t xml:space="preserve"> </w:t>
      </w:r>
      <w:r w:rsidRPr="00914C12">
        <w:rPr>
          <w:rFonts w:ascii="Manrope" w:hAnsi="Manrope"/>
          <w:bCs/>
          <w:lang w:val="el-GR"/>
        </w:rPr>
        <w:t xml:space="preserve">ύψους </w:t>
      </w:r>
      <w:r w:rsidRPr="00914C12">
        <w:rPr>
          <w:rFonts w:ascii="Manrope" w:hAnsi="Manrope"/>
          <w:b/>
          <w:bCs/>
          <w:lang w:val="el-GR"/>
        </w:rPr>
        <w:t>€</w:t>
      </w:r>
      <w:r w:rsidR="003D4631">
        <w:rPr>
          <w:rFonts w:ascii="Manrope" w:hAnsi="Manrope"/>
          <w:b/>
          <w:bCs/>
          <w:lang w:val="el-GR"/>
        </w:rPr>
        <w:t>176</w:t>
      </w:r>
      <w:r w:rsidR="00B56F06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40</w:t>
      </w:r>
      <w:r w:rsidRPr="00914C12">
        <w:rPr>
          <w:rFonts w:ascii="Manrope" w:hAnsi="Manrope"/>
          <w:b/>
          <w:bCs/>
          <w:lang w:val="el-GR"/>
        </w:rPr>
        <w:t xml:space="preserve"> εκατ.</w:t>
      </w:r>
      <w:r w:rsidRPr="00914C12">
        <w:rPr>
          <w:rFonts w:ascii="Manrope" w:hAnsi="Manrope"/>
          <w:bCs/>
          <w:lang w:val="el-GR"/>
        </w:rPr>
        <w:t xml:space="preserve"> κατά το μήνα </w:t>
      </w:r>
      <w:r w:rsidR="003D4631">
        <w:rPr>
          <w:rFonts w:ascii="Manrope" w:hAnsi="Manrope"/>
          <w:bCs/>
          <w:lang w:val="el-GR"/>
        </w:rPr>
        <w:t>Δεκέμ</w:t>
      </w:r>
      <w:r w:rsidR="00882B95" w:rsidRPr="00914C12">
        <w:rPr>
          <w:rFonts w:ascii="Manrope" w:hAnsi="Manrope"/>
          <w:bCs/>
          <w:lang w:val="el-GR"/>
        </w:rPr>
        <w:t>βριο</w:t>
      </w:r>
      <w:r w:rsidRPr="00914C12">
        <w:rPr>
          <w:rFonts w:ascii="Manrope" w:hAnsi="Manrope"/>
          <w:bCs/>
          <w:lang w:val="el-GR"/>
        </w:rPr>
        <w:t xml:space="preserve">, σε αντίθεση με τους </w:t>
      </w:r>
      <w:r w:rsidRPr="00914C12">
        <w:rPr>
          <w:rFonts w:ascii="Manrope" w:hAnsi="Manrope"/>
          <w:b/>
          <w:lang w:val="el-GR"/>
        </w:rPr>
        <w:t xml:space="preserve">Ημεδαπούς Δικαιούχους Μερίδων </w:t>
      </w:r>
      <w:r w:rsidRPr="00914C12">
        <w:rPr>
          <w:rFonts w:ascii="Manrope" w:hAnsi="Manrope"/>
          <w:lang w:val="el-GR"/>
        </w:rPr>
        <w:t>οι οποίοι πραγματοποίησαν</w:t>
      </w:r>
      <w:r w:rsidRPr="00914C12">
        <w:rPr>
          <w:rFonts w:ascii="Manrope" w:hAnsi="Manrope"/>
          <w:b/>
          <w:lang w:val="el-GR"/>
        </w:rPr>
        <w:t xml:space="preserve"> </w:t>
      </w:r>
      <w:r w:rsidR="008B1DEF" w:rsidRPr="00914C12">
        <w:rPr>
          <w:rFonts w:ascii="Manrope" w:hAnsi="Manrope"/>
          <w:b/>
          <w:lang w:val="el-GR"/>
        </w:rPr>
        <w:t>εισ</w:t>
      </w:r>
      <w:r w:rsidR="004166F0" w:rsidRPr="00914C12">
        <w:rPr>
          <w:rFonts w:ascii="Manrope" w:hAnsi="Manrope"/>
          <w:b/>
          <w:lang w:val="el-GR"/>
        </w:rPr>
        <w:t>ροές</w:t>
      </w:r>
      <w:r w:rsidRPr="00914C12">
        <w:rPr>
          <w:rFonts w:ascii="Manrope" w:hAnsi="Manrope"/>
          <w:b/>
          <w:lang w:val="el-GR"/>
        </w:rPr>
        <w:t xml:space="preserve"> </w:t>
      </w:r>
      <w:r w:rsidRPr="00914C12">
        <w:rPr>
          <w:rFonts w:ascii="Manrope" w:hAnsi="Manrope"/>
          <w:bCs/>
          <w:lang w:val="el-GR"/>
        </w:rPr>
        <w:t xml:space="preserve">ύψους </w:t>
      </w:r>
      <w:r w:rsidRPr="00914C12">
        <w:rPr>
          <w:rFonts w:ascii="Manrope" w:hAnsi="Manrope"/>
          <w:b/>
          <w:bCs/>
          <w:lang w:val="el-GR"/>
        </w:rPr>
        <w:t>€</w:t>
      </w:r>
      <w:r w:rsidR="003D4631">
        <w:rPr>
          <w:rFonts w:ascii="Manrope" w:hAnsi="Manrope"/>
          <w:b/>
          <w:bCs/>
          <w:lang w:val="el-GR"/>
        </w:rPr>
        <w:t>176</w:t>
      </w:r>
      <w:r w:rsidR="00752FF1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40</w:t>
      </w:r>
      <w:r w:rsidR="00562497" w:rsidRPr="00914C12">
        <w:rPr>
          <w:rFonts w:ascii="Manrope" w:hAnsi="Manrope"/>
          <w:b/>
          <w:bCs/>
          <w:lang w:val="el-GR"/>
        </w:rPr>
        <w:t xml:space="preserve"> </w:t>
      </w:r>
      <w:r w:rsidRPr="00914C12">
        <w:rPr>
          <w:rFonts w:ascii="Manrope" w:hAnsi="Manrope"/>
          <w:b/>
          <w:bCs/>
          <w:lang w:val="el-GR"/>
        </w:rPr>
        <w:t>εκατ.</w:t>
      </w:r>
      <w:r w:rsidRPr="00914C12">
        <w:rPr>
          <w:rFonts w:ascii="Manrope" w:hAnsi="Manrope"/>
          <w:bCs/>
          <w:lang w:val="el-GR"/>
        </w:rPr>
        <w:t xml:space="preserve"> </w:t>
      </w:r>
      <w:r w:rsidR="00136819" w:rsidRPr="00914C12">
        <w:rPr>
          <w:rFonts w:ascii="Manrope" w:hAnsi="Manrope"/>
          <w:bCs/>
          <w:lang w:val="el-GR"/>
        </w:rPr>
        <w:t>τ</w:t>
      </w:r>
      <w:r w:rsidRPr="00914C12">
        <w:rPr>
          <w:rFonts w:ascii="Manrope" w:hAnsi="Manrope"/>
          <w:bCs/>
          <w:lang w:val="el-GR"/>
        </w:rPr>
        <w:t>ο</w:t>
      </w:r>
      <w:r w:rsidR="00136819" w:rsidRPr="00914C12">
        <w:rPr>
          <w:rFonts w:ascii="Manrope" w:hAnsi="Manrope"/>
          <w:bCs/>
          <w:lang w:val="el-GR"/>
        </w:rPr>
        <w:t xml:space="preserve">ν </w:t>
      </w:r>
      <w:r w:rsidR="003D4631">
        <w:rPr>
          <w:rFonts w:ascii="Manrope" w:hAnsi="Manrope"/>
          <w:bCs/>
          <w:lang w:val="el-GR"/>
        </w:rPr>
        <w:t>Δεκέ</w:t>
      </w:r>
      <w:r w:rsidR="008B1DEF" w:rsidRPr="00914C12">
        <w:rPr>
          <w:rFonts w:ascii="Manrope" w:hAnsi="Manrope"/>
          <w:bCs/>
          <w:lang w:val="el-GR"/>
        </w:rPr>
        <w:t>μβρ</w:t>
      </w:r>
      <w:r w:rsidR="00882B95" w:rsidRPr="00914C12">
        <w:rPr>
          <w:rFonts w:ascii="Manrope" w:hAnsi="Manrope"/>
          <w:bCs/>
          <w:lang w:val="el-GR"/>
        </w:rPr>
        <w:t>ιο</w:t>
      </w:r>
      <w:r w:rsidR="007A4660" w:rsidRPr="00914C12">
        <w:rPr>
          <w:rFonts w:ascii="Manrope" w:hAnsi="Manrope"/>
          <w:bCs/>
          <w:lang w:val="el-GR"/>
        </w:rPr>
        <w:t xml:space="preserve"> </w:t>
      </w:r>
      <w:r w:rsidRPr="00914C12">
        <w:rPr>
          <w:rFonts w:ascii="Manrope" w:hAnsi="Manrope"/>
          <w:bCs/>
          <w:lang w:val="el-GR"/>
        </w:rPr>
        <w:t>(§2.1)</w:t>
      </w:r>
      <w:r w:rsidR="00BA7E24" w:rsidRPr="00914C12">
        <w:rPr>
          <w:rFonts w:ascii="Manrope" w:hAnsi="Manrope"/>
          <w:bCs/>
          <w:lang w:val="el-GR"/>
        </w:rPr>
        <w:t>.</w:t>
      </w:r>
    </w:p>
    <w:p w14:paraId="46F7AD75" w14:textId="77777777" w:rsidR="006466D1" w:rsidRPr="006466D1" w:rsidRDefault="006466D1" w:rsidP="006466D1">
      <w:pPr>
        <w:spacing w:line="360" w:lineRule="auto"/>
        <w:jc w:val="both"/>
        <w:rPr>
          <w:rFonts w:ascii="Manrope" w:hAnsi="Manrope"/>
          <w:bCs/>
          <w:lang w:val="el-GR"/>
        </w:rPr>
      </w:pPr>
    </w:p>
    <w:p w14:paraId="0A689933" w14:textId="77777777" w:rsidR="00EB05EE" w:rsidRPr="00914C12" w:rsidRDefault="00EB05EE" w:rsidP="00EB05EE">
      <w:pPr>
        <w:pStyle w:val="ListParagraph"/>
        <w:spacing w:line="360" w:lineRule="auto"/>
        <w:jc w:val="both"/>
        <w:rPr>
          <w:rFonts w:ascii="Manrope" w:hAnsi="Manrope"/>
          <w:bCs/>
          <w:lang w:val="el-GR"/>
        </w:rPr>
      </w:pPr>
    </w:p>
    <w:p w14:paraId="264E7A25" w14:textId="77777777" w:rsidR="00667186" w:rsidRPr="00914C12" w:rsidRDefault="00667186" w:rsidP="00667186">
      <w:pPr>
        <w:pStyle w:val="ListParagraph"/>
        <w:spacing w:line="360" w:lineRule="auto"/>
        <w:jc w:val="both"/>
        <w:rPr>
          <w:rFonts w:ascii="Manrope" w:hAnsi="Manrope"/>
          <w:bCs/>
          <w:lang w:val="el-GR"/>
        </w:rPr>
      </w:pPr>
    </w:p>
    <w:p w14:paraId="47DA2F20" w14:textId="72526DA6" w:rsidR="007E49F8" w:rsidRPr="00914C12" w:rsidRDefault="00F7062F" w:rsidP="006D222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l-GR"/>
        </w:rPr>
      </w:pPr>
      <w:r w:rsidRPr="00914C12">
        <w:rPr>
          <w:rFonts w:ascii="Manrope" w:hAnsi="Manrope"/>
          <w:bCs/>
          <w:lang w:val="el-GR"/>
        </w:rPr>
        <w:t xml:space="preserve">Η </w:t>
      </w:r>
      <w:r w:rsidRPr="00914C12">
        <w:rPr>
          <w:rFonts w:ascii="Manrope" w:hAnsi="Manrope"/>
          <w:b/>
          <w:bCs/>
          <w:lang w:val="el-GR"/>
        </w:rPr>
        <w:t>κατανομή</w:t>
      </w:r>
      <w:r w:rsidRPr="00914C12">
        <w:rPr>
          <w:rFonts w:ascii="Manrope" w:hAnsi="Manrope"/>
          <w:bCs/>
          <w:lang w:val="el-GR"/>
        </w:rPr>
        <w:t xml:space="preserve"> της Αξίας Χαρτοφυλακίου</w:t>
      </w:r>
      <w:r w:rsidR="00B2425A" w:rsidRPr="00914C12">
        <w:rPr>
          <w:rFonts w:ascii="Manrope" w:hAnsi="Manrope"/>
          <w:bCs/>
          <w:lang w:val="el-GR"/>
        </w:rPr>
        <w:t xml:space="preserve"> </w:t>
      </w:r>
      <w:r w:rsidR="00253AEC" w:rsidRPr="00914C12">
        <w:rPr>
          <w:rFonts w:ascii="Manrope" w:hAnsi="Manrope"/>
          <w:bCs/>
          <w:lang w:val="el-GR"/>
        </w:rPr>
        <w:t>των Δικαι</w:t>
      </w:r>
      <w:r w:rsidR="00AD4E9D" w:rsidRPr="00914C12">
        <w:rPr>
          <w:rFonts w:ascii="Manrope" w:hAnsi="Manrope"/>
          <w:bCs/>
          <w:lang w:val="el-GR"/>
        </w:rPr>
        <w:t xml:space="preserve">ούχων Μερίδων </w:t>
      </w:r>
      <w:r w:rsidR="00B2425A" w:rsidRPr="00914C12">
        <w:rPr>
          <w:rFonts w:ascii="Manrope" w:hAnsi="Manrope"/>
          <w:bCs/>
          <w:lang w:val="el-GR"/>
        </w:rPr>
        <w:t xml:space="preserve">διαμορφώθηκε στα </w:t>
      </w:r>
      <w:r w:rsidR="00B2425A" w:rsidRPr="00914C12">
        <w:rPr>
          <w:rFonts w:ascii="Manrope" w:hAnsi="Manrope"/>
          <w:b/>
          <w:bCs/>
          <w:lang w:val="el-GR"/>
        </w:rPr>
        <w:t>6</w:t>
      </w:r>
      <w:r w:rsidR="003D4631">
        <w:rPr>
          <w:rFonts w:ascii="Manrope" w:hAnsi="Manrope"/>
          <w:b/>
          <w:bCs/>
          <w:lang w:val="el-GR"/>
        </w:rPr>
        <w:t>5</w:t>
      </w:r>
      <w:r w:rsidR="00B2425A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37</w:t>
      </w:r>
      <w:r w:rsidRPr="00914C12">
        <w:rPr>
          <w:rFonts w:ascii="Manrope" w:hAnsi="Manrope"/>
          <w:b/>
          <w:bCs/>
          <w:lang w:val="el-GR"/>
        </w:rPr>
        <w:t>%</w:t>
      </w:r>
      <w:r w:rsidRPr="00914C12">
        <w:rPr>
          <w:rFonts w:ascii="Manrope" w:hAnsi="Manrope"/>
          <w:bCs/>
          <w:lang w:val="el-GR"/>
        </w:rPr>
        <w:t xml:space="preserve"> για τους </w:t>
      </w:r>
      <w:r w:rsidRPr="00914C12">
        <w:rPr>
          <w:rFonts w:ascii="Manrope" w:hAnsi="Manrope"/>
          <w:b/>
          <w:bCs/>
          <w:lang w:val="el-GR"/>
        </w:rPr>
        <w:t>Αλλοδαπ</w:t>
      </w:r>
      <w:r w:rsidR="00B2425A" w:rsidRPr="00914C12">
        <w:rPr>
          <w:rFonts w:ascii="Manrope" w:hAnsi="Manrope"/>
          <w:b/>
          <w:bCs/>
          <w:lang w:val="el-GR"/>
        </w:rPr>
        <w:t>ούς Δικαιούχους Μερίδων</w:t>
      </w:r>
      <w:r w:rsidR="00B2425A" w:rsidRPr="00914C12">
        <w:rPr>
          <w:rFonts w:ascii="Manrope" w:hAnsi="Manrope"/>
          <w:bCs/>
          <w:lang w:val="el-GR"/>
        </w:rPr>
        <w:t xml:space="preserve"> και </w:t>
      </w:r>
      <w:r w:rsidR="00453C20" w:rsidRPr="00914C12">
        <w:rPr>
          <w:rFonts w:ascii="Manrope" w:hAnsi="Manrope"/>
          <w:b/>
          <w:lang w:val="el-GR"/>
        </w:rPr>
        <w:t>3</w:t>
      </w:r>
      <w:r w:rsidR="003D4631">
        <w:rPr>
          <w:rFonts w:ascii="Manrope" w:hAnsi="Manrope"/>
          <w:b/>
          <w:lang w:val="el-GR"/>
        </w:rPr>
        <w:t>4</w:t>
      </w:r>
      <w:r w:rsidR="00C8625C" w:rsidRPr="00914C12">
        <w:rPr>
          <w:rFonts w:ascii="Manrope" w:hAnsi="Manrope"/>
          <w:b/>
          <w:lang w:val="el-GR"/>
        </w:rPr>
        <w:t>,</w:t>
      </w:r>
      <w:r w:rsidR="003D4631">
        <w:rPr>
          <w:rFonts w:ascii="Manrope" w:hAnsi="Manrope"/>
          <w:b/>
          <w:lang w:val="el-GR"/>
        </w:rPr>
        <w:t>63</w:t>
      </w:r>
      <w:r w:rsidRPr="00914C12">
        <w:rPr>
          <w:rFonts w:ascii="Manrope" w:hAnsi="Manrope"/>
          <w:b/>
          <w:lang w:val="el-GR"/>
        </w:rPr>
        <w:t>%</w:t>
      </w:r>
      <w:r w:rsidRPr="00914C12">
        <w:rPr>
          <w:rFonts w:ascii="Manrope" w:hAnsi="Manrope"/>
          <w:bCs/>
          <w:lang w:val="el-GR"/>
        </w:rPr>
        <w:t xml:space="preserve"> για τους Ημεδαπού</w:t>
      </w:r>
      <w:r w:rsidR="005C2992" w:rsidRPr="00914C12">
        <w:rPr>
          <w:rFonts w:ascii="Manrope" w:hAnsi="Manrope"/>
          <w:bCs/>
          <w:lang w:val="el-GR"/>
        </w:rPr>
        <w:t xml:space="preserve">ς </w:t>
      </w:r>
      <w:r w:rsidR="00AD4E9D" w:rsidRPr="00914C12">
        <w:rPr>
          <w:rFonts w:ascii="Manrope" w:hAnsi="Manrope"/>
          <w:bCs/>
          <w:lang w:val="el-GR"/>
        </w:rPr>
        <w:t>(§3.1)</w:t>
      </w:r>
      <w:r w:rsidR="00D44D80" w:rsidRPr="00914C12">
        <w:rPr>
          <w:rFonts w:ascii="Manrope" w:hAnsi="Manrope"/>
          <w:bCs/>
          <w:lang w:val="el-GR"/>
        </w:rPr>
        <w:t>.</w:t>
      </w:r>
    </w:p>
    <w:p w14:paraId="219C8B0B" w14:textId="193C92B6" w:rsidR="00D44D80" w:rsidRPr="00914C12" w:rsidRDefault="003D4631" w:rsidP="00044C8F">
      <w:pPr>
        <w:pStyle w:val="ListParagraph"/>
        <w:spacing w:line="360" w:lineRule="auto"/>
        <w:jc w:val="center"/>
        <w:rPr>
          <w:rFonts w:ascii="Manrope" w:hAnsi="Manrope"/>
          <w:bCs/>
          <w:lang w:val="el-GR"/>
        </w:rPr>
      </w:pPr>
      <w:r w:rsidRPr="00E623BC">
        <w:rPr>
          <w:noProof/>
          <w:lang w:eastAsia="en-GB"/>
        </w:rPr>
        <w:drawing>
          <wp:inline distT="0" distB="0" distL="0" distR="0" wp14:anchorId="43D51E6B" wp14:editId="799B93E4">
            <wp:extent cx="5940425" cy="195990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5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DBAB7" w14:textId="65F8BD61" w:rsidR="00C20929" w:rsidRPr="00914C12" w:rsidRDefault="00316BBD" w:rsidP="006E352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l-GR"/>
        </w:rPr>
      </w:pPr>
      <w:r w:rsidRPr="00914C12">
        <w:rPr>
          <w:rFonts w:ascii="Manrope" w:hAnsi="Manrope"/>
          <w:bCs/>
          <w:lang w:val="el-GR"/>
        </w:rPr>
        <w:t xml:space="preserve">Οι </w:t>
      </w:r>
      <w:r w:rsidRPr="00914C12">
        <w:rPr>
          <w:rFonts w:ascii="Manrope" w:hAnsi="Manrope"/>
          <w:b/>
          <w:bCs/>
          <w:lang w:val="el-GR"/>
        </w:rPr>
        <w:t>χώρες</w:t>
      </w:r>
      <w:r w:rsidRPr="00914C12">
        <w:rPr>
          <w:rFonts w:ascii="Manrope" w:hAnsi="Manrope"/>
          <w:bCs/>
          <w:lang w:val="el-GR"/>
        </w:rPr>
        <w:t xml:space="preserve"> με την </w:t>
      </w:r>
      <w:r w:rsidRPr="00914C12">
        <w:rPr>
          <w:rFonts w:ascii="Manrope" w:hAnsi="Manrope"/>
          <w:b/>
          <w:bCs/>
          <w:lang w:val="el-GR"/>
        </w:rPr>
        <w:t>μεγαλύτερη αξία χαρτοφυλακίου</w:t>
      </w:r>
      <w:r w:rsidRPr="00914C12">
        <w:rPr>
          <w:rFonts w:ascii="Manrope" w:hAnsi="Manrope"/>
          <w:bCs/>
          <w:lang w:val="el-GR"/>
        </w:rPr>
        <w:t xml:space="preserve"> (μερίδες πελάτη) για το</w:t>
      </w:r>
      <w:r w:rsidR="00C47FD8" w:rsidRPr="00914C12">
        <w:rPr>
          <w:rFonts w:ascii="Manrope" w:hAnsi="Manrope"/>
          <w:bCs/>
          <w:lang w:val="el-GR"/>
        </w:rPr>
        <w:t xml:space="preserve"> </w:t>
      </w:r>
      <w:r w:rsidR="006D3171" w:rsidRPr="00914C12">
        <w:rPr>
          <w:rFonts w:ascii="Manrope" w:hAnsi="Manrope"/>
          <w:bCs/>
          <w:lang w:val="el-GR"/>
        </w:rPr>
        <w:t>μήνα</w:t>
      </w:r>
      <w:r w:rsidR="006E3520" w:rsidRPr="00914C12">
        <w:rPr>
          <w:rFonts w:ascii="Manrope" w:hAnsi="Manrope"/>
          <w:bCs/>
          <w:lang w:val="el-GR"/>
        </w:rPr>
        <w:t xml:space="preserve"> </w:t>
      </w:r>
      <w:r w:rsidRPr="00914C12">
        <w:rPr>
          <w:rFonts w:ascii="Manrope" w:hAnsi="Manrope"/>
          <w:bCs/>
          <w:lang w:val="el-GR"/>
        </w:rPr>
        <w:t>ήταν οι ΗΠΑ με αξία συνολικού χαρτοφυλακίου €</w:t>
      </w:r>
      <w:r w:rsidR="00562497" w:rsidRPr="00914C12">
        <w:rPr>
          <w:rFonts w:ascii="Manrope" w:hAnsi="Manrope"/>
          <w:bCs/>
          <w:lang w:val="el-GR"/>
        </w:rPr>
        <w:t>1</w:t>
      </w:r>
      <w:r w:rsidR="00F6577D" w:rsidRPr="00F6577D">
        <w:rPr>
          <w:rFonts w:ascii="Manrope" w:hAnsi="Manrope"/>
          <w:bCs/>
          <w:lang w:val="el-GR"/>
        </w:rPr>
        <w:t>3</w:t>
      </w:r>
      <w:r w:rsidR="00076E3C" w:rsidRPr="00914C12">
        <w:rPr>
          <w:rFonts w:ascii="Manrope" w:hAnsi="Manrope"/>
          <w:bCs/>
          <w:lang w:val="el-GR"/>
        </w:rPr>
        <w:t>,</w:t>
      </w:r>
      <w:r w:rsidR="00F6577D" w:rsidRPr="00F6577D">
        <w:rPr>
          <w:rFonts w:ascii="Manrope" w:hAnsi="Manrope"/>
          <w:bCs/>
          <w:lang w:val="el-GR"/>
        </w:rPr>
        <w:t>66</w:t>
      </w:r>
      <w:r w:rsidR="005D04E5" w:rsidRPr="00914C12">
        <w:rPr>
          <w:rFonts w:ascii="Manrope" w:hAnsi="Manrope"/>
          <w:bCs/>
          <w:lang w:val="el-GR"/>
        </w:rPr>
        <w:t xml:space="preserve"> δις, η Κύπρος με αξία χαρτοφυλακίου €</w:t>
      </w:r>
      <w:r w:rsidR="003F5097" w:rsidRPr="00914C12">
        <w:rPr>
          <w:rFonts w:ascii="Manrope" w:hAnsi="Manrope"/>
          <w:bCs/>
          <w:lang w:val="el-GR"/>
        </w:rPr>
        <w:t>9</w:t>
      </w:r>
      <w:r w:rsidR="00B7464E" w:rsidRPr="00914C12">
        <w:rPr>
          <w:rFonts w:ascii="Manrope" w:hAnsi="Manrope"/>
          <w:bCs/>
          <w:lang w:val="el-GR"/>
        </w:rPr>
        <w:t>,</w:t>
      </w:r>
      <w:r w:rsidR="00F6577D" w:rsidRPr="00F6577D">
        <w:rPr>
          <w:rFonts w:ascii="Manrope" w:hAnsi="Manrope"/>
          <w:bCs/>
          <w:lang w:val="el-GR"/>
        </w:rPr>
        <w:t>09</w:t>
      </w:r>
      <w:r w:rsidR="005D04E5" w:rsidRPr="00914C12">
        <w:rPr>
          <w:rFonts w:ascii="Manrope" w:hAnsi="Manrope"/>
          <w:bCs/>
          <w:lang w:val="el-GR"/>
        </w:rPr>
        <w:t xml:space="preserve"> δις και </w:t>
      </w:r>
      <w:r w:rsidR="00136819" w:rsidRPr="00914C12">
        <w:rPr>
          <w:rFonts w:ascii="Manrope" w:hAnsi="Manrope"/>
          <w:bCs/>
          <w:lang w:val="el-GR"/>
        </w:rPr>
        <w:t>η</w:t>
      </w:r>
      <w:r w:rsidR="00AB026E" w:rsidRPr="00914C12">
        <w:rPr>
          <w:rFonts w:ascii="Manrope" w:hAnsi="Manrope"/>
          <w:bCs/>
          <w:lang w:val="el-GR"/>
        </w:rPr>
        <w:t xml:space="preserve"> </w:t>
      </w:r>
      <w:r w:rsidR="00136819" w:rsidRPr="00914C12">
        <w:rPr>
          <w:rFonts w:ascii="Manrope" w:hAnsi="Manrope"/>
          <w:bCs/>
          <w:lang w:val="el-GR"/>
        </w:rPr>
        <w:t>Γερμανία</w:t>
      </w:r>
      <w:r w:rsidR="005D04E5" w:rsidRPr="00914C12">
        <w:rPr>
          <w:rFonts w:ascii="Manrope" w:hAnsi="Manrope"/>
          <w:bCs/>
          <w:lang w:val="el-GR"/>
        </w:rPr>
        <w:t xml:space="preserve"> με αξία χαρτοφυλακίου €</w:t>
      </w:r>
      <w:r w:rsidR="0067502C" w:rsidRPr="00914C12">
        <w:rPr>
          <w:rFonts w:ascii="Manrope" w:hAnsi="Manrope"/>
          <w:bCs/>
          <w:lang w:val="el-GR"/>
        </w:rPr>
        <w:t>5,</w:t>
      </w:r>
      <w:r w:rsidR="00F6577D">
        <w:rPr>
          <w:rFonts w:ascii="Manrope" w:hAnsi="Manrope"/>
          <w:bCs/>
          <w:lang w:val="el-GR"/>
        </w:rPr>
        <w:t>9</w:t>
      </w:r>
      <w:r w:rsidR="00F6577D" w:rsidRPr="00F6577D">
        <w:rPr>
          <w:rFonts w:ascii="Manrope" w:hAnsi="Manrope"/>
          <w:bCs/>
          <w:lang w:val="el-GR"/>
        </w:rPr>
        <w:t>3</w:t>
      </w:r>
      <w:r w:rsidR="005D04E5" w:rsidRPr="00914C12">
        <w:rPr>
          <w:rFonts w:ascii="Manrope" w:hAnsi="Manrope"/>
          <w:bCs/>
          <w:lang w:val="el-GR"/>
        </w:rPr>
        <w:t xml:space="preserve"> δις (§3.5.1)</w:t>
      </w:r>
      <w:r w:rsidR="00136819" w:rsidRPr="00914C12">
        <w:rPr>
          <w:rFonts w:ascii="Manrope" w:hAnsi="Manrope"/>
          <w:bCs/>
          <w:lang w:val="el-GR"/>
        </w:rPr>
        <w:t>.</w:t>
      </w:r>
    </w:p>
    <w:p w14:paraId="18AE9B98" w14:textId="2B817A05" w:rsidR="007B112E" w:rsidRPr="00914C12" w:rsidRDefault="003D4631" w:rsidP="00D37DF4">
      <w:pPr>
        <w:spacing w:line="360" w:lineRule="auto"/>
        <w:ind w:left="360"/>
        <w:jc w:val="center"/>
        <w:rPr>
          <w:rFonts w:ascii="Manrope" w:hAnsi="Manrope"/>
          <w:bCs/>
          <w:lang w:val="el-GR"/>
        </w:rPr>
      </w:pPr>
      <w:r w:rsidRPr="00E623BC">
        <w:rPr>
          <w:noProof/>
          <w:lang w:eastAsia="en-GB"/>
        </w:rPr>
        <w:drawing>
          <wp:inline distT="0" distB="0" distL="0" distR="0" wp14:anchorId="2132CFDC" wp14:editId="259F2CF5">
            <wp:extent cx="5940425" cy="2249933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4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50329" w14:textId="01BF45B6" w:rsidR="00D37DF4" w:rsidRPr="00914C12" w:rsidRDefault="006D14D7" w:rsidP="00B11E0E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l-GR"/>
        </w:rPr>
      </w:pPr>
      <w:r w:rsidRPr="00914C12">
        <w:rPr>
          <w:rFonts w:ascii="Manrope" w:hAnsi="Manrope"/>
          <w:bCs/>
          <w:lang w:val="el-GR"/>
        </w:rPr>
        <w:t xml:space="preserve">Οι </w:t>
      </w:r>
      <w:r w:rsidRPr="00914C12">
        <w:rPr>
          <w:rFonts w:ascii="Manrope" w:hAnsi="Manrope"/>
          <w:b/>
          <w:lang w:val="el-GR"/>
        </w:rPr>
        <w:t>Αλλοδαποί Δικαιούχοι Μερίδων</w:t>
      </w:r>
      <w:r w:rsidRPr="00914C12">
        <w:rPr>
          <w:rFonts w:ascii="Manrope" w:hAnsi="Manrope"/>
          <w:bCs/>
          <w:lang w:val="el-GR"/>
        </w:rPr>
        <w:t xml:space="preserve"> </w:t>
      </w:r>
      <w:r w:rsidR="008B424F" w:rsidRPr="00914C12">
        <w:rPr>
          <w:rFonts w:ascii="Manrope" w:hAnsi="Manrope"/>
          <w:bCs/>
          <w:lang w:val="el-GR"/>
        </w:rPr>
        <w:t xml:space="preserve">πραγματοποίησαν το </w:t>
      </w:r>
      <w:r w:rsidR="003D4631">
        <w:rPr>
          <w:rFonts w:ascii="Manrope" w:hAnsi="Manrope"/>
          <w:b/>
          <w:bCs/>
          <w:lang w:val="el-GR"/>
        </w:rPr>
        <w:t>57</w:t>
      </w:r>
      <w:r w:rsidR="00250D8D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9</w:t>
      </w:r>
      <w:r w:rsidR="008B424F" w:rsidRPr="00914C12">
        <w:rPr>
          <w:rFonts w:ascii="Manrope" w:hAnsi="Manrope"/>
          <w:b/>
          <w:bCs/>
          <w:lang w:val="el-GR"/>
        </w:rPr>
        <w:t>%</w:t>
      </w:r>
      <w:r w:rsidR="008B424F" w:rsidRPr="00914C12">
        <w:rPr>
          <w:rFonts w:ascii="Manrope" w:hAnsi="Manrope"/>
          <w:bCs/>
          <w:lang w:val="el-GR"/>
        </w:rPr>
        <w:t xml:space="preserve"> των συνολικών συναλλαγών (αγορές &amp; πωλήσεις)</w:t>
      </w:r>
      <w:r w:rsidR="00AF6A52" w:rsidRPr="00914C12">
        <w:rPr>
          <w:rFonts w:ascii="Manrope" w:hAnsi="Manrope"/>
          <w:bCs/>
          <w:lang w:val="el-GR"/>
        </w:rPr>
        <w:t xml:space="preserve"> </w:t>
      </w:r>
      <w:r w:rsidRPr="00914C12">
        <w:rPr>
          <w:rFonts w:ascii="Manrope" w:hAnsi="Manrope"/>
          <w:bCs/>
          <w:lang w:val="el-GR"/>
        </w:rPr>
        <w:t xml:space="preserve">τον </w:t>
      </w:r>
      <w:r w:rsidR="003D4631">
        <w:rPr>
          <w:rFonts w:ascii="Manrope" w:hAnsi="Manrope"/>
          <w:bCs/>
          <w:lang w:val="el-GR"/>
        </w:rPr>
        <w:t>Δεκέμβριο</w:t>
      </w:r>
      <w:r w:rsidR="00250D8D" w:rsidRPr="00914C12">
        <w:rPr>
          <w:rFonts w:ascii="Manrope" w:hAnsi="Manrope"/>
          <w:bCs/>
          <w:lang w:val="el-GR"/>
        </w:rPr>
        <w:t xml:space="preserve"> </w:t>
      </w:r>
      <w:r w:rsidR="003452F0" w:rsidRPr="00914C12">
        <w:rPr>
          <w:rFonts w:ascii="Manrope" w:hAnsi="Manrope"/>
          <w:bCs/>
          <w:lang w:val="el-GR"/>
        </w:rPr>
        <w:t>202</w:t>
      </w:r>
      <w:r w:rsidR="005537BA" w:rsidRPr="00914C12">
        <w:rPr>
          <w:rFonts w:ascii="Manrope" w:hAnsi="Manrope"/>
          <w:bCs/>
          <w:lang w:val="el-GR"/>
        </w:rPr>
        <w:t>4</w:t>
      </w:r>
      <w:r w:rsidR="003452F0" w:rsidRPr="00914C12">
        <w:rPr>
          <w:rFonts w:ascii="Manrope" w:hAnsi="Manrope"/>
          <w:bCs/>
          <w:lang w:val="el-GR"/>
        </w:rPr>
        <w:t xml:space="preserve"> (σε σχέση με το </w:t>
      </w:r>
      <w:r w:rsidR="003D4631">
        <w:rPr>
          <w:rFonts w:ascii="Manrope" w:hAnsi="Manrope"/>
          <w:bCs/>
          <w:lang w:val="el-GR"/>
        </w:rPr>
        <w:t>44,1</w:t>
      </w:r>
      <w:r w:rsidRPr="00914C12">
        <w:rPr>
          <w:rFonts w:ascii="Manrope" w:hAnsi="Manrope"/>
          <w:bCs/>
          <w:lang w:val="el-GR"/>
        </w:rPr>
        <w:t>% τον προηγούμενο μήνα</w:t>
      </w:r>
      <w:r w:rsidR="00AF6A52" w:rsidRPr="00914C12">
        <w:rPr>
          <w:rFonts w:ascii="Manrope" w:hAnsi="Manrope"/>
          <w:bCs/>
          <w:lang w:val="el-GR"/>
        </w:rPr>
        <w:t>)</w:t>
      </w:r>
      <w:r w:rsidRPr="00914C12">
        <w:rPr>
          <w:rFonts w:ascii="Manrope" w:hAnsi="Manrope"/>
          <w:bCs/>
          <w:lang w:val="el-GR"/>
        </w:rPr>
        <w:t xml:space="preserve">, ενώ οι </w:t>
      </w:r>
      <w:r w:rsidRPr="00914C12">
        <w:rPr>
          <w:rFonts w:ascii="Manrope" w:hAnsi="Manrope"/>
          <w:b/>
          <w:lang w:val="el-GR"/>
        </w:rPr>
        <w:t>Ημεδαποί Δικαιούχοι Μερίδων</w:t>
      </w:r>
      <w:r w:rsidR="003452F0" w:rsidRPr="00914C12">
        <w:rPr>
          <w:rFonts w:ascii="Manrope" w:hAnsi="Manrope"/>
          <w:bCs/>
          <w:lang w:val="el-GR"/>
        </w:rPr>
        <w:t xml:space="preserve">, πραγματοποίησαν το </w:t>
      </w:r>
      <w:r w:rsidR="003D4631">
        <w:rPr>
          <w:rFonts w:ascii="Manrope" w:hAnsi="Manrope"/>
          <w:b/>
          <w:bCs/>
          <w:lang w:val="el-GR"/>
        </w:rPr>
        <w:t>42</w:t>
      </w:r>
      <w:r w:rsidR="00076E3C" w:rsidRPr="00914C12">
        <w:rPr>
          <w:rFonts w:ascii="Manrope" w:hAnsi="Manrope"/>
          <w:b/>
          <w:bCs/>
          <w:lang w:val="el-GR"/>
        </w:rPr>
        <w:t>,</w:t>
      </w:r>
      <w:r w:rsidR="003D4631">
        <w:rPr>
          <w:rFonts w:ascii="Manrope" w:hAnsi="Manrope"/>
          <w:b/>
          <w:bCs/>
          <w:lang w:val="el-GR"/>
        </w:rPr>
        <w:t>1</w:t>
      </w:r>
      <w:r w:rsidRPr="00914C12">
        <w:rPr>
          <w:rFonts w:ascii="Manrope" w:hAnsi="Manrope"/>
          <w:b/>
          <w:bCs/>
          <w:lang w:val="el-GR"/>
        </w:rPr>
        <w:t>%</w:t>
      </w:r>
      <w:r w:rsidRPr="00914C12">
        <w:rPr>
          <w:rFonts w:ascii="Manrope" w:hAnsi="Manrope"/>
          <w:bCs/>
          <w:lang w:val="el-GR"/>
        </w:rPr>
        <w:t xml:space="preserve"> τ</w:t>
      </w:r>
      <w:r w:rsidR="00F17AD1" w:rsidRPr="00914C12">
        <w:rPr>
          <w:rFonts w:ascii="Manrope" w:hAnsi="Manrope"/>
          <w:bCs/>
          <w:lang w:val="el-GR"/>
        </w:rPr>
        <w:t>ων συναλλαγών</w:t>
      </w:r>
      <w:r w:rsidR="003452F0" w:rsidRPr="00914C12">
        <w:rPr>
          <w:rFonts w:ascii="Manrope" w:hAnsi="Manrope"/>
          <w:bCs/>
          <w:lang w:val="el-GR"/>
        </w:rPr>
        <w:t xml:space="preserve"> </w:t>
      </w:r>
      <w:r w:rsidR="00F17AD1" w:rsidRPr="00914C12">
        <w:rPr>
          <w:rFonts w:ascii="Manrope" w:hAnsi="Manrope"/>
          <w:bCs/>
          <w:lang w:val="el-GR"/>
        </w:rPr>
        <w:t>(</w:t>
      </w:r>
      <w:r w:rsidR="003452F0" w:rsidRPr="00914C12">
        <w:rPr>
          <w:rFonts w:ascii="Manrope" w:hAnsi="Manrope"/>
          <w:bCs/>
          <w:lang w:val="el-GR"/>
        </w:rPr>
        <w:t xml:space="preserve">σε σχέση με το </w:t>
      </w:r>
      <w:r w:rsidR="003D4631">
        <w:rPr>
          <w:rFonts w:ascii="Manrope" w:hAnsi="Manrope"/>
          <w:bCs/>
          <w:lang w:val="el-GR"/>
        </w:rPr>
        <w:t>55,9</w:t>
      </w:r>
      <w:r w:rsidRPr="00914C12">
        <w:rPr>
          <w:rFonts w:ascii="Manrope" w:hAnsi="Manrope"/>
          <w:bCs/>
          <w:lang w:val="el-GR"/>
        </w:rPr>
        <w:t>% τον προηγούμενο μήνα</w:t>
      </w:r>
      <w:r w:rsidR="00F17AD1" w:rsidRPr="00914C12">
        <w:rPr>
          <w:rFonts w:ascii="Manrope" w:hAnsi="Manrope"/>
          <w:bCs/>
          <w:lang w:val="el-GR"/>
        </w:rPr>
        <w:t>)</w:t>
      </w:r>
      <w:r w:rsidR="003452F0" w:rsidRPr="00914C12">
        <w:rPr>
          <w:rFonts w:ascii="Manrope" w:hAnsi="Manrope"/>
          <w:bCs/>
          <w:lang w:val="el-GR"/>
        </w:rPr>
        <w:t xml:space="preserve"> </w:t>
      </w:r>
      <w:r w:rsidR="007E667A" w:rsidRPr="00914C12">
        <w:rPr>
          <w:rFonts w:ascii="Manrope" w:hAnsi="Manrope"/>
          <w:bCs/>
          <w:lang w:val="el-GR"/>
        </w:rPr>
        <w:t>(</w:t>
      </w:r>
      <w:r w:rsidR="000C0D29" w:rsidRPr="00914C12">
        <w:rPr>
          <w:rFonts w:ascii="Manrope" w:hAnsi="Manrope"/>
          <w:bCs/>
          <w:lang w:val="el-GR"/>
        </w:rPr>
        <w:t>§2.1</w:t>
      </w:r>
      <w:r w:rsidR="007E667A" w:rsidRPr="00914C12">
        <w:rPr>
          <w:rFonts w:ascii="Manrope" w:hAnsi="Manrope"/>
          <w:bCs/>
          <w:lang w:val="el-GR"/>
        </w:rPr>
        <w:t>)</w:t>
      </w:r>
      <w:r w:rsidRPr="00914C12">
        <w:rPr>
          <w:rFonts w:ascii="Manrope" w:hAnsi="Manrope"/>
          <w:bCs/>
          <w:lang w:val="el-GR"/>
        </w:rPr>
        <w:t>.</w:t>
      </w:r>
    </w:p>
    <w:p w14:paraId="12A9E57B" w14:textId="77777777" w:rsidR="00914C12" w:rsidRPr="00914C12" w:rsidRDefault="00914C12" w:rsidP="00914C12">
      <w:pPr>
        <w:pStyle w:val="ListParagraph"/>
        <w:spacing w:line="360" w:lineRule="auto"/>
        <w:jc w:val="both"/>
        <w:rPr>
          <w:rFonts w:ascii="Manrope" w:hAnsi="Manrope"/>
          <w:bCs/>
          <w:lang w:val="el-GR"/>
        </w:rPr>
      </w:pPr>
    </w:p>
    <w:p w14:paraId="45D1E7CF" w14:textId="77777777" w:rsidR="00A22147" w:rsidRPr="00914C12" w:rsidRDefault="00A22147" w:rsidP="00A22147">
      <w:pPr>
        <w:pStyle w:val="ListParagraph"/>
        <w:spacing w:line="360" w:lineRule="auto"/>
        <w:jc w:val="both"/>
        <w:rPr>
          <w:rFonts w:ascii="Manrope" w:hAnsi="Manrope"/>
          <w:bCs/>
          <w:lang w:val="el-GR"/>
        </w:rPr>
      </w:pPr>
    </w:p>
    <w:p w14:paraId="71067951" w14:textId="77777777" w:rsidR="000A5B93" w:rsidRDefault="000A5B93" w:rsidP="00B11E0E">
      <w:pPr>
        <w:spacing w:line="360" w:lineRule="auto"/>
        <w:jc w:val="both"/>
        <w:rPr>
          <w:rFonts w:ascii="Manrope" w:hAnsi="Manrope"/>
          <w:bCs/>
          <w:i/>
          <w:lang w:val="el-GR"/>
        </w:rPr>
      </w:pPr>
    </w:p>
    <w:p w14:paraId="387A1259" w14:textId="77777777" w:rsidR="003D4631" w:rsidRDefault="003D4631" w:rsidP="00B11E0E">
      <w:pPr>
        <w:spacing w:line="360" w:lineRule="auto"/>
        <w:jc w:val="both"/>
        <w:rPr>
          <w:rFonts w:ascii="Manrope" w:hAnsi="Manrope"/>
          <w:bCs/>
          <w:i/>
          <w:lang w:val="el-GR"/>
        </w:rPr>
      </w:pPr>
    </w:p>
    <w:p w14:paraId="77698EFE" w14:textId="668C893F" w:rsidR="00F31994" w:rsidRPr="00914C12" w:rsidRDefault="000476CC" w:rsidP="00B11E0E">
      <w:pPr>
        <w:spacing w:line="360" w:lineRule="auto"/>
        <w:jc w:val="both"/>
        <w:rPr>
          <w:rFonts w:ascii="Manrope" w:hAnsi="Manrope"/>
          <w:lang w:val="el-GR"/>
        </w:rPr>
      </w:pPr>
      <w:r w:rsidRPr="00914C12">
        <w:rPr>
          <w:rFonts w:ascii="Manrope" w:hAnsi="Manrope"/>
          <w:bCs/>
          <w:i/>
          <w:lang w:val="el-GR"/>
        </w:rPr>
        <w:t xml:space="preserve">Περισσότερες πληροφορίες σχετικά με </w:t>
      </w:r>
      <w:r w:rsidR="006A647A" w:rsidRPr="00914C12">
        <w:rPr>
          <w:rFonts w:ascii="Manrope" w:hAnsi="Manrope"/>
          <w:bCs/>
          <w:i/>
          <w:lang w:val="el-GR"/>
        </w:rPr>
        <w:t xml:space="preserve">τις παρεχόμενες υπηρεσίες </w:t>
      </w:r>
      <w:r w:rsidR="00AD7852" w:rsidRPr="00914C12">
        <w:rPr>
          <w:rFonts w:ascii="Manrope" w:hAnsi="Manrope"/>
          <w:bCs/>
          <w:i/>
          <w:lang w:val="el-GR"/>
        </w:rPr>
        <w:t xml:space="preserve"> της </w:t>
      </w:r>
      <w:r w:rsidR="00AD7852" w:rsidRPr="00914C12">
        <w:rPr>
          <w:rFonts w:ascii="Manrope" w:hAnsi="Manrope"/>
          <w:bCs/>
          <w:i/>
          <w:lang w:val="en-US"/>
        </w:rPr>
        <w:t>ATHEXCSD</w:t>
      </w:r>
      <w:r w:rsidR="00AD7852" w:rsidRPr="00914C12">
        <w:rPr>
          <w:rFonts w:ascii="Manrope" w:hAnsi="Manrope"/>
          <w:bCs/>
          <w:i/>
          <w:lang w:val="el-GR"/>
        </w:rPr>
        <w:t xml:space="preserve"> </w:t>
      </w:r>
      <w:r w:rsidR="006A647A" w:rsidRPr="00914C12">
        <w:rPr>
          <w:rFonts w:ascii="Manrope" w:hAnsi="Manrope"/>
          <w:bCs/>
          <w:i/>
          <w:lang w:val="el-GR"/>
        </w:rPr>
        <w:t>στο νέο κανονιστικό περιβάλλον</w:t>
      </w:r>
      <w:r w:rsidRPr="00914C12">
        <w:rPr>
          <w:rFonts w:ascii="Manrope" w:hAnsi="Manrope"/>
          <w:bCs/>
          <w:i/>
          <w:lang w:val="el-GR"/>
        </w:rPr>
        <w:t xml:space="preserve">, </w:t>
      </w:r>
      <w:r w:rsidR="006A647A" w:rsidRPr="00914C12">
        <w:rPr>
          <w:rFonts w:ascii="Manrope" w:hAnsi="Manrope"/>
          <w:bCs/>
          <w:i/>
          <w:lang w:val="el-GR"/>
        </w:rPr>
        <w:t xml:space="preserve">παρατίθενται </w:t>
      </w:r>
      <w:r w:rsidR="004E3414" w:rsidRPr="00914C12">
        <w:rPr>
          <w:rFonts w:ascii="Manrope" w:hAnsi="Manrope"/>
          <w:bCs/>
          <w:i/>
          <w:lang w:val="el-GR"/>
        </w:rPr>
        <w:t xml:space="preserve">στον </w:t>
      </w:r>
      <w:hyperlink r:id="rId11" w:history="1">
        <w:r w:rsidR="004E3414" w:rsidRPr="00914C12">
          <w:rPr>
            <w:rStyle w:val="Hyperlink"/>
            <w:rFonts w:ascii="Manrope" w:hAnsi="Manrope"/>
            <w:bCs/>
            <w:i/>
            <w:lang w:val="el-GR"/>
          </w:rPr>
          <w:t>Κανονισμό</w:t>
        </w:r>
      </w:hyperlink>
      <w:r w:rsidR="00CB7A63" w:rsidRPr="00914C12">
        <w:rPr>
          <w:rFonts w:ascii="Manrope" w:hAnsi="Manrope"/>
          <w:bCs/>
          <w:i/>
          <w:lang w:val="el-GR"/>
        </w:rPr>
        <w:t xml:space="preserve"> </w:t>
      </w:r>
      <w:r w:rsidR="00AD7852" w:rsidRPr="00914C12">
        <w:rPr>
          <w:rFonts w:ascii="Manrope" w:hAnsi="Manrope"/>
          <w:bCs/>
          <w:i/>
          <w:lang w:val="el-GR"/>
        </w:rPr>
        <w:t>Λειτουργίας</w:t>
      </w:r>
      <w:r w:rsidR="006A647A" w:rsidRPr="00914C12">
        <w:rPr>
          <w:rFonts w:ascii="Manrope" w:hAnsi="Manrope"/>
          <w:bCs/>
          <w:i/>
          <w:lang w:val="el-GR"/>
        </w:rPr>
        <w:t xml:space="preserve"> της εταιρείας</w:t>
      </w:r>
      <w:r w:rsidR="00CB7A63" w:rsidRPr="00914C12">
        <w:rPr>
          <w:rFonts w:ascii="Manrope" w:hAnsi="Manrope"/>
          <w:bCs/>
          <w:i/>
          <w:lang w:val="el-GR"/>
        </w:rPr>
        <w:t xml:space="preserve">, </w:t>
      </w:r>
      <w:r w:rsidR="0008244C" w:rsidRPr="00914C12">
        <w:rPr>
          <w:rFonts w:ascii="Manrope" w:hAnsi="Manrope"/>
          <w:bCs/>
          <w:i/>
          <w:lang w:val="el-GR"/>
        </w:rPr>
        <w:t>στ</w:t>
      </w:r>
      <w:r w:rsidR="00CB7A63" w:rsidRPr="00914C12">
        <w:rPr>
          <w:rFonts w:ascii="Manrope" w:hAnsi="Manrope"/>
          <w:bCs/>
          <w:i/>
          <w:lang w:val="el-GR"/>
        </w:rPr>
        <w:t xml:space="preserve">ις </w:t>
      </w:r>
      <w:r w:rsidR="006A647A" w:rsidRPr="00914C12">
        <w:rPr>
          <w:rFonts w:ascii="Manrope" w:hAnsi="Manrope"/>
          <w:bCs/>
          <w:i/>
          <w:lang w:val="el-GR"/>
        </w:rPr>
        <w:t xml:space="preserve">σχετικές </w:t>
      </w:r>
      <w:r w:rsidR="00B23FE2">
        <w:fldChar w:fldCharType="begin"/>
      </w:r>
      <w:r w:rsidR="00B23FE2" w:rsidRPr="000A5B93">
        <w:rPr>
          <w:lang w:val="el-GR"/>
        </w:rPr>
        <w:instrText xml:space="preserve"> </w:instrText>
      </w:r>
      <w:r w:rsidR="00B23FE2">
        <w:instrText>HYPERLINK</w:instrText>
      </w:r>
      <w:r w:rsidR="00B23FE2" w:rsidRPr="000A5B93">
        <w:rPr>
          <w:lang w:val="el-GR"/>
        </w:rPr>
        <w:instrText xml:space="preserve"> "</w:instrText>
      </w:r>
      <w:r w:rsidR="00B23FE2">
        <w:instrText>https</w:instrText>
      </w:r>
      <w:r w:rsidR="00B23FE2" w:rsidRPr="000A5B93">
        <w:rPr>
          <w:lang w:val="el-GR"/>
        </w:rPr>
        <w:instrText>://</w:instrText>
      </w:r>
      <w:r w:rsidR="00B23FE2">
        <w:instrText>www</w:instrText>
      </w:r>
      <w:r w:rsidR="00B23FE2" w:rsidRPr="000A5B93">
        <w:rPr>
          <w:lang w:val="el-GR"/>
        </w:rPr>
        <w:instrText>.</w:instrText>
      </w:r>
      <w:r w:rsidR="00B23FE2">
        <w:instrText>athexgroup</w:instrText>
      </w:r>
      <w:r w:rsidR="00B23FE2" w:rsidRPr="000A5B93">
        <w:rPr>
          <w:lang w:val="el-GR"/>
        </w:rPr>
        <w:instrText>.</w:instrText>
      </w:r>
      <w:r w:rsidR="00B23FE2">
        <w:instrText>gr</w:instrText>
      </w:r>
      <w:r w:rsidR="00B23FE2" w:rsidRPr="000A5B93">
        <w:rPr>
          <w:lang w:val="el-GR"/>
        </w:rPr>
        <w:instrText>/</w:instrText>
      </w:r>
      <w:r w:rsidR="00B23FE2">
        <w:instrText>el</w:instrText>
      </w:r>
      <w:r w:rsidR="00B23FE2" w:rsidRPr="000A5B93">
        <w:rPr>
          <w:lang w:val="el-GR"/>
        </w:rPr>
        <w:instrText>/</w:instrText>
      </w:r>
      <w:r w:rsidR="00B23FE2">
        <w:instrText>athexcsd</w:instrText>
      </w:r>
      <w:r w:rsidR="00B23FE2" w:rsidRPr="000A5B93">
        <w:rPr>
          <w:lang w:val="el-GR"/>
        </w:rPr>
        <w:instrText>-</w:instrText>
      </w:r>
      <w:r w:rsidR="00B23FE2">
        <w:instrText>resolutions</w:instrText>
      </w:r>
      <w:r w:rsidR="00B23FE2" w:rsidRPr="000A5B93">
        <w:rPr>
          <w:lang w:val="el-GR"/>
        </w:rPr>
        <w:instrText xml:space="preserve">" </w:instrText>
      </w:r>
      <w:r w:rsidR="00B23FE2">
        <w:fldChar w:fldCharType="separate"/>
      </w:r>
      <w:r w:rsidR="00CB7A63" w:rsidRPr="00914C12">
        <w:rPr>
          <w:rStyle w:val="Hyperlink"/>
          <w:rFonts w:ascii="Manrope" w:hAnsi="Manrope"/>
          <w:bCs/>
          <w:i/>
          <w:lang w:val="el-GR"/>
        </w:rPr>
        <w:t>Αποφάσεις</w:t>
      </w:r>
      <w:r w:rsidR="00B23FE2">
        <w:rPr>
          <w:rStyle w:val="Hyperlink"/>
          <w:rFonts w:ascii="Manrope" w:hAnsi="Manrope"/>
          <w:bCs/>
          <w:i/>
          <w:lang w:val="el-GR"/>
        </w:rPr>
        <w:fldChar w:fldCharType="end"/>
      </w:r>
      <w:r w:rsidR="00CB7A63" w:rsidRPr="00914C12">
        <w:rPr>
          <w:rFonts w:ascii="Manrope" w:hAnsi="Manrope"/>
          <w:bCs/>
          <w:i/>
          <w:lang w:val="el-GR"/>
        </w:rPr>
        <w:t xml:space="preserve"> </w:t>
      </w:r>
      <w:r w:rsidR="0008244C" w:rsidRPr="00914C12">
        <w:rPr>
          <w:rFonts w:ascii="Manrope" w:hAnsi="Manrope"/>
          <w:i/>
          <w:lang w:val="el-GR"/>
        </w:rPr>
        <w:t>του Διοικητικού Συμβουλίου</w:t>
      </w:r>
      <w:r w:rsidR="006A647A" w:rsidRPr="00914C12">
        <w:rPr>
          <w:rFonts w:ascii="Manrope" w:hAnsi="Manrope"/>
          <w:i/>
          <w:lang w:val="el-GR"/>
        </w:rPr>
        <w:t xml:space="preserve"> της εταιρείας σε εφαρμογή του Κανονισμού</w:t>
      </w:r>
      <w:r w:rsidRPr="00914C12">
        <w:rPr>
          <w:rFonts w:ascii="Manrope" w:hAnsi="Manrope"/>
          <w:i/>
          <w:lang w:val="el-GR"/>
        </w:rPr>
        <w:t>,</w:t>
      </w:r>
      <w:r w:rsidR="00CB7A63" w:rsidRPr="00914C12">
        <w:rPr>
          <w:rFonts w:ascii="Manrope" w:hAnsi="Manrope"/>
          <w:i/>
          <w:lang w:val="el-GR"/>
        </w:rPr>
        <w:t xml:space="preserve"> καθώς και στ</w:t>
      </w:r>
      <w:r w:rsidR="006A647A" w:rsidRPr="00914C12">
        <w:rPr>
          <w:rFonts w:ascii="Manrope" w:hAnsi="Manrope"/>
          <w:i/>
          <w:lang w:val="el-GR"/>
        </w:rPr>
        <w:t>ις</w:t>
      </w:r>
      <w:r w:rsidR="00CB7A63" w:rsidRPr="00914C12">
        <w:rPr>
          <w:rFonts w:ascii="Manrope" w:hAnsi="Manrope"/>
          <w:i/>
          <w:lang w:val="el-GR"/>
        </w:rPr>
        <w:t xml:space="preserve"> ενότητ</w:t>
      </w:r>
      <w:r w:rsidR="006A647A" w:rsidRPr="00914C12">
        <w:rPr>
          <w:rFonts w:ascii="Manrope" w:hAnsi="Manrope"/>
          <w:i/>
          <w:lang w:val="el-GR"/>
        </w:rPr>
        <w:t>ες</w:t>
      </w:r>
      <w:r w:rsidR="00CB7A63" w:rsidRPr="00914C12">
        <w:rPr>
          <w:rFonts w:ascii="Manrope" w:hAnsi="Manrope"/>
          <w:i/>
          <w:lang w:val="el-GR"/>
        </w:rPr>
        <w:t xml:space="preserve"> «</w:t>
      </w:r>
      <w:r w:rsidR="00B23FE2">
        <w:fldChar w:fldCharType="begin"/>
      </w:r>
      <w:r w:rsidR="00B23FE2" w:rsidRPr="000A5B93">
        <w:rPr>
          <w:lang w:val="el-GR"/>
        </w:rPr>
        <w:instrText xml:space="preserve"> </w:instrText>
      </w:r>
      <w:r w:rsidR="00B23FE2">
        <w:instrText>HYPERLINK</w:instrText>
      </w:r>
      <w:r w:rsidR="00B23FE2" w:rsidRPr="000A5B93">
        <w:rPr>
          <w:lang w:val="el-GR"/>
        </w:rPr>
        <w:instrText xml:space="preserve"> "</w:instrText>
      </w:r>
      <w:r w:rsidR="00B23FE2">
        <w:instrText>https</w:instrText>
      </w:r>
      <w:r w:rsidR="00B23FE2" w:rsidRPr="000A5B93">
        <w:rPr>
          <w:lang w:val="el-GR"/>
        </w:rPr>
        <w:instrText>://</w:instrText>
      </w:r>
      <w:r w:rsidR="00B23FE2">
        <w:instrText>www</w:instrText>
      </w:r>
      <w:r w:rsidR="00B23FE2" w:rsidRPr="000A5B93">
        <w:rPr>
          <w:lang w:val="el-GR"/>
        </w:rPr>
        <w:instrText>.</w:instrText>
      </w:r>
      <w:r w:rsidR="00B23FE2">
        <w:instrText>athexgroup</w:instrText>
      </w:r>
      <w:r w:rsidR="00B23FE2" w:rsidRPr="000A5B93">
        <w:rPr>
          <w:lang w:val="el-GR"/>
        </w:rPr>
        <w:instrText>.</w:instrText>
      </w:r>
      <w:r w:rsidR="00B23FE2">
        <w:instrText>gr</w:instrText>
      </w:r>
      <w:r w:rsidR="00B23FE2" w:rsidRPr="000A5B93">
        <w:rPr>
          <w:lang w:val="el-GR"/>
        </w:rPr>
        <w:instrText>/</w:instrText>
      </w:r>
      <w:r w:rsidR="00B23FE2">
        <w:instrText>el</w:instrText>
      </w:r>
      <w:r w:rsidR="00B23FE2" w:rsidRPr="000A5B93">
        <w:rPr>
          <w:lang w:val="el-GR"/>
        </w:rPr>
        <w:instrText>/</w:instrText>
      </w:r>
      <w:r w:rsidR="00B23FE2">
        <w:instrText>web</w:instrText>
      </w:r>
      <w:r w:rsidR="00B23FE2" w:rsidRPr="000A5B93">
        <w:rPr>
          <w:lang w:val="el-GR"/>
        </w:rPr>
        <w:instrText>/</w:instrText>
      </w:r>
      <w:r w:rsidR="00B23FE2">
        <w:instrText>guest</w:instrText>
      </w:r>
      <w:r w:rsidR="00B23FE2" w:rsidRPr="000A5B93">
        <w:rPr>
          <w:lang w:val="el-GR"/>
        </w:rPr>
        <w:instrText>/</w:instrText>
      </w:r>
      <w:r w:rsidR="00B23FE2">
        <w:instrText>functions</w:instrText>
      </w:r>
      <w:r w:rsidR="00B23FE2" w:rsidRPr="000A5B93">
        <w:rPr>
          <w:lang w:val="el-GR"/>
        </w:rPr>
        <w:instrText>-</w:instrText>
      </w:r>
      <w:r w:rsidR="00B23FE2">
        <w:instrText>depository</w:instrText>
      </w:r>
      <w:r w:rsidR="00B23FE2" w:rsidRPr="000A5B93">
        <w:rPr>
          <w:lang w:val="el-GR"/>
        </w:rPr>
        <w:instrText xml:space="preserve">" </w:instrText>
      </w:r>
      <w:r w:rsidR="00B23FE2">
        <w:fldChar w:fldCharType="separate"/>
      </w:r>
      <w:r w:rsidR="00CB7A63" w:rsidRPr="00914C12">
        <w:rPr>
          <w:rStyle w:val="Hyperlink"/>
          <w:rFonts w:ascii="Manrope" w:hAnsi="Manrope"/>
          <w:i/>
          <w:lang w:val="el-GR"/>
        </w:rPr>
        <w:t>Καταχώριση</w:t>
      </w:r>
      <w:r w:rsidR="00B23FE2">
        <w:rPr>
          <w:rStyle w:val="Hyperlink"/>
          <w:rFonts w:ascii="Manrope" w:hAnsi="Manrope"/>
          <w:i/>
          <w:lang w:val="el-GR"/>
        </w:rPr>
        <w:fldChar w:fldCharType="end"/>
      </w:r>
      <w:r w:rsidR="00CB7A63" w:rsidRPr="00914C12">
        <w:rPr>
          <w:rFonts w:ascii="Manrope" w:hAnsi="Manrope"/>
          <w:i/>
          <w:lang w:val="el-GR"/>
        </w:rPr>
        <w:t xml:space="preserve">» </w:t>
      </w:r>
      <w:r w:rsidR="006A647A" w:rsidRPr="00914C12">
        <w:rPr>
          <w:rFonts w:ascii="Manrope" w:hAnsi="Manrope"/>
          <w:i/>
          <w:lang w:val="el-GR"/>
        </w:rPr>
        <w:t>&amp; «</w:t>
      </w:r>
      <w:r w:rsidR="00B23FE2">
        <w:fldChar w:fldCharType="begin"/>
      </w:r>
      <w:r w:rsidR="00B23FE2" w:rsidRPr="000A5B93">
        <w:rPr>
          <w:lang w:val="el-GR"/>
        </w:rPr>
        <w:instrText xml:space="preserve"> </w:instrText>
      </w:r>
      <w:r w:rsidR="00B23FE2">
        <w:instrText>HYPERLINK</w:instrText>
      </w:r>
      <w:r w:rsidR="00B23FE2" w:rsidRPr="000A5B93">
        <w:rPr>
          <w:lang w:val="el-GR"/>
        </w:rPr>
        <w:instrText xml:space="preserve"> "</w:instrText>
      </w:r>
      <w:r w:rsidR="00B23FE2">
        <w:instrText>https</w:instrText>
      </w:r>
      <w:r w:rsidR="00B23FE2" w:rsidRPr="000A5B93">
        <w:rPr>
          <w:lang w:val="el-GR"/>
        </w:rPr>
        <w:instrText>://</w:instrText>
      </w:r>
      <w:r w:rsidR="00B23FE2">
        <w:instrText>www</w:instrText>
      </w:r>
      <w:r w:rsidR="00B23FE2" w:rsidRPr="000A5B93">
        <w:rPr>
          <w:lang w:val="el-GR"/>
        </w:rPr>
        <w:instrText>.</w:instrText>
      </w:r>
      <w:r w:rsidR="00B23FE2">
        <w:instrText>athexgroup</w:instrText>
      </w:r>
      <w:r w:rsidR="00B23FE2" w:rsidRPr="000A5B93">
        <w:rPr>
          <w:lang w:val="el-GR"/>
        </w:rPr>
        <w:instrText>.</w:instrText>
      </w:r>
      <w:r w:rsidR="00B23FE2">
        <w:instrText>gr</w:instrText>
      </w:r>
      <w:r w:rsidR="00B23FE2" w:rsidRPr="000A5B93">
        <w:rPr>
          <w:lang w:val="el-GR"/>
        </w:rPr>
        <w:instrText>/</w:instrText>
      </w:r>
      <w:r w:rsidR="00B23FE2">
        <w:instrText>el</w:instrText>
      </w:r>
      <w:r w:rsidR="00B23FE2" w:rsidRPr="000A5B93">
        <w:rPr>
          <w:lang w:val="el-GR"/>
        </w:rPr>
        <w:instrText>/</w:instrText>
      </w:r>
      <w:r w:rsidR="00B23FE2">
        <w:instrText>web</w:instrText>
      </w:r>
      <w:r w:rsidR="00B23FE2" w:rsidRPr="000A5B93">
        <w:rPr>
          <w:lang w:val="el-GR"/>
        </w:rPr>
        <w:instrText>/</w:instrText>
      </w:r>
      <w:r w:rsidR="00B23FE2">
        <w:instrText>guest</w:instrText>
      </w:r>
      <w:r w:rsidR="00B23FE2" w:rsidRPr="000A5B93">
        <w:rPr>
          <w:lang w:val="el-GR"/>
        </w:rPr>
        <w:instrText>/</w:instrText>
      </w:r>
      <w:r w:rsidR="00B23FE2">
        <w:instrText>settlement</w:instrText>
      </w:r>
      <w:r w:rsidR="00B23FE2" w:rsidRPr="000A5B93">
        <w:rPr>
          <w:lang w:val="el-GR"/>
        </w:rPr>
        <w:instrText xml:space="preserve">" </w:instrText>
      </w:r>
      <w:r w:rsidR="00B23FE2">
        <w:fldChar w:fldCharType="separate"/>
      </w:r>
      <w:r w:rsidR="006A647A" w:rsidRPr="00914C12">
        <w:rPr>
          <w:rStyle w:val="Hyperlink"/>
          <w:rFonts w:ascii="Manrope" w:hAnsi="Manrope"/>
          <w:i/>
          <w:lang w:val="el-GR"/>
        </w:rPr>
        <w:t>Διακανονισμός</w:t>
      </w:r>
      <w:r w:rsidR="00B23FE2">
        <w:rPr>
          <w:rStyle w:val="Hyperlink"/>
          <w:rFonts w:ascii="Manrope" w:hAnsi="Manrope"/>
          <w:i/>
          <w:lang w:val="el-GR"/>
        </w:rPr>
        <w:fldChar w:fldCharType="end"/>
      </w:r>
      <w:r w:rsidR="006A647A" w:rsidRPr="00914C12">
        <w:rPr>
          <w:rFonts w:ascii="Manrope" w:hAnsi="Manrope"/>
          <w:i/>
          <w:lang w:val="el-GR"/>
        </w:rPr>
        <w:t xml:space="preserve">» </w:t>
      </w:r>
      <w:r w:rsidR="00CB7A63" w:rsidRPr="00914C12">
        <w:rPr>
          <w:rFonts w:ascii="Manrope" w:hAnsi="Manrope"/>
          <w:i/>
          <w:lang w:val="el-GR"/>
        </w:rPr>
        <w:t xml:space="preserve">της ηλεκτρονικής ιστοσελίδας </w:t>
      </w:r>
      <w:r w:rsidR="00AD7852" w:rsidRPr="00914C12">
        <w:rPr>
          <w:rFonts w:ascii="Manrope" w:hAnsi="Manrope"/>
          <w:i/>
          <w:lang w:val="el-GR"/>
        </w:rPr>
        <w:t>της εταιρείας:</w:t>
      </w:r>
      <w:r w:rsidR="00CE0B2F" w:rsidRPr="00914C12">
        <w:rPr>
          <w:rFonts w:ascii="Manrope" w:hAnsi="Manrope"/>
          <w:i/>
          <w:lang w:val="el-GR"/>
        </w:rPr>
        <w:t xml:space="preserve"> </w:t>
      </w:r>
      <w:hyperlink r:id="rId12" w:history="1">
        <w:r w:rsidR="00CE0B2F" w:rsidRPr="00914C12">
          <w:rPr>
            <w:rStyle w:val="Hyperlink"/>
            <w:rFonts w:ascii="Manrope" w:hAnsi="Manrope"/>
            <w:i/>
          </w:rPr>
          <w:t>www</w:t>
        </w:r>
        <w:r w:rsidR="00CE0B2F" w:rsidRPr="00914C12">
          <w:rPr>
            <w:rStyle w:val="Hyperlink"/>
            <w:rFonts w:ascii="Manrope" w:hAnsi="Manrope"/>
            <w:i/>
            <w:lang w:val="el-GR"/>
          </w:rPr>
          <w:t>.</w:t>
        </w:r>
        <w:proofErr w:type="spellStart"/>
        <w:r w:rsidR="00CE0B2F" w:rsidRPr="00914C12">
          <w:rPr>
            <w:rStyle w:val="Hyperlink"/>
            <w:rFonts w:ascii="Manrope" w:hAnsi="Manrope"/>
            <w:i/>
          </w:rPr>
          <w:t>athexgroup</w:t>
        </w:r>
        <w:proofErr w:type="spellEnd"/>
        <w:r w:rsidR="00CE0B2F" w:rsidRPr="00914C12">
          <w:rPr>
            <w:rStyle w:val="Hyperlink"/>
            <w:rFonts w:ascii="Manrope" w:hAnsi="Manrope"/>
            <w:i/>
            <w:lang w:val="el-GR"/>
          </w:rPr>
          <w:t>.</w:t>
        </w:r>
        <w:r w:rsidR="00CE0B2F" w:rsidRPr="00914C12">
          <w:rPr>
            <w:rStyle w:val="Hyperlink"/>
            <w:rFonts w:ascii="Manrope" w:hAnsi="Manrope"/>
            <w:i/>
          </w:rPr>
          <w:t>gr</w:t>
        </w:r>
      </w:hyperlink>
    </w:p>
    <w:sectPr w:rsidR="00F31994" w:rsidRPr="00914C12" w:rsidSect="00AD4E9D">
      <w:headerReference w:type="default" r:id="rId13"/>
      <w:pgSz w:w="11906" w:h="16838"/>
      <w:pgMar w:top="1701" w:right="1133" w:bottom="1134" w:left="1418" w:header="709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16A16" w14:textId="77777777" w:rsidR="00F25B9D" w:rsidRDefault="00F25B9D" w:rsidP="0038284C">
      <w:pPr>
        <w:spacing w:after="0" w:line="240" w:lineRule="auto"/>
      </w:pPr>
      <w:r>
        <w:separator/>
      </w:r>
    </w:p>
  </w:endnote>
  <w:endnote w:type="continuationSeparator" w:id="0">
    <w:p w14:paraId="1F8181DD" w14:textId="77777777" w:rsidR="00F25B9D" w:rsidRDefault="00F25B9D" w:rsidP="0038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anrope">
    <w:panose1 w:val="00000000000000000000"/>
    <w:charset w:val="A1"/>
    <w:family w:val="auto"/>
    <w:pitch w:val="variable"/>
    <w:sig w:usb0="A00002BF" w:usb1="5000206B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2BD84" w14:textId="77777777" w:rsidR="00F25B9D" w:rsidRDefault="00F25B9D" w:rsidP="0038284C">
      <w:pPr>
        <w:spacing w:after="0" w:line="240" w:lineRule="auto"/>
      </w:pPr>
      <w:r>
        <w:separator/>
      </w:r>
    </w:p>
  </w:footnote>
  <w:footnote w:type="continuationSeparator" w:id="0">
    <w:p w14:paraId="72870AB9" w14:textId="77777777" w:rsidR="00F25B9D" w:rsidRDefault="00F25B9D" w:rsidP="0038284C">
      <w:pPr>
        <w:spacing w:after="0" w:line="240" w:lineRule="auto"/>
      </w:pPr>
      <w:r>
        <w:continuationSeparator/>
      </w:r>
    </w:p>
  </w:footnote>
  <w:footnote w:id="1">
    <w:p w14:paraId="5A12ED29" w14:textId="0F14E68E" w:rsidR="00DB4FAE" w:rsidRPr="00F1373E" w:rsidRDefault="00DB4FAE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 w:rsidRPr="00F1373E">
        <w:rPr>
          <w:lang w:val="el-GR"/>
        </w:rPr>
        <w:t xml:space="preserve"> </w:t>
      </w:r>
      <w:r w:rsidRPr="00F1373E">
        <w:rPr>
          <w:sz w:val="16"/>
          <w:szCs w:val="16"/>
          <w:lang w:val="el-GR"/>
        </w:rPr>
        <w:t>Οι σημειώσεις με το σύμβολο «</w:t>
      </w:r>
      <w:r w:rsidRPr="00F1373E">
        <w:rPr>
          <w:bCs/>
          <w:sz w:val="16"/>
          <w:szCs w:val="16"/>
          <w:lang w:val="el-GR"/>
        </w:rPr>
        <w:t xml:space="preserve">§» αποτελούν παραπομπές σε ενότητες της αναλυτικής έκδοσης </w:t>
      </w:r>
      <w:r w:rsidRPr="00F1373E">
        <w:rPr>
          <w:bCs/>
          <w:sz w:val="16"/>
          <w:szCs w:val="16"/>
          <w:lang w:val="en-US"/>
        </w:rPr>
        <w:t>AXIA</w:t>
      </w:r>
      <w:r w:rsidRPr="00F1373E">
        <w:rPr>
          <w:bCs/>
          <w:sz w:val="16"/>
          <w:szCs w:val="16"/>
          <w:lang w:val="el-GR"/>
        </w:rPr>
        <w:t xml:space="preserve"> </w:t>
      </w:r>
      <w:r w:rsidRPr="00F1373E">
        <w:rPr>
          <w:bCs/>
          <w:sz w:val="16"/>
          <w:szCs w:val="16"/>
          <w:lang w:val="en-US"/>
        </w:rPr>
        <w:t>Numbers</w:t>
      </w:r>
      <w:r w:rsidR="004927FB">
        <w:rPr>
          <w:bCs/>
          <w:sz w:val="16"/>
          <w:szCs w:val="16"/>
          <w:lang w:val="el-GR"/>
        </w:rPr>
        <w:t>, όπου παρουσιάζονται τα συνολικά στοιχεία</w:t>
      </w:r>
    </w:p>
  </w:footnote>
  <w:footnote w:id="2">
    <w:p w14:paraId="5E69D0C0" w14:textId="77777777" w:rsidR="00D00E02" w:rsidRPr="00F1373E" w:rsidRDefault="00D00E02" w:rsidP="00D00E02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 w:rsidRPr="00F1373E">
        <w:rPr>
          <w:lang w:val="el-GR"/>
        </w:rPr>
        <w:t xml:space="preserve"> </w:t>
      </w:r>
      <w:r>
        <w:rPr>
          <w:sz w:val="16"/>
          <w:szCs w:val="16"/>
          <w:lang w:val="el-GR"/>
        </w:rPr>
        <w:t>Σ</w:t>
      </w:r>
      <w:r w:rsidRPr="00F1373E">
        <w:rPr>
          <w:sz w:val="16"/>
          <w:szCs w:val="16"/>
          <w:lang w:val="el-GR"/>
        </w:rPr>
        <w:t xml:space="preserve">την </w:t>
      </w:r>
      <w:r w:rsidRPr="00F1373E">
        <w:rPr>
          <w:sz w:val="16"/>
          <w:szCs w:val="16"/>
          <w:lang w:val="el-GR"/>
        </w:rPr>
        <w:t>περίπτωση των Μερίδων Πελατείας, αναφερόμαστε στη χώρα φορολογικής κατοικίας του εγγεγραμμένου διαμεσολαβητή, στο όνομα του οποίου τηρείται ο λογαριασμός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1B2FD" w14:textId="4334746B" w:rsidR="00D506C2" w:rsidRDefault="00303F6E" w:rsidP="00BA2A7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292E2684" wp14:editId="5DEC8FF0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2506980" cy="620395"/>
          <wp:effectExtent l="0" t="0" r="7620" b="8255"/>
          <wp:wrapSquare wrapText="bothSides"/>
          <wp:docPr id="958312912" name="Picture 1" descr="A blue and grey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9154819" name="Picture 1" descr="A blue and grey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2A75">
      <w:rPr>
        <w:noProof/>
        <w:lang w:eastAsia="en-GB"/>
      </w:rPr>
      <w:t xml:space="preserve">                                                                                                             </w:t>
    </w:r>
    <w:r w:rsidR="005E0983">
      <w:rPr>
        <w:noProof/>
        <w:lang w:eastAsia="en-GB"/>
      </w:rPr>
      <w:t xml:space="preserve"> </w:t>
    </w:r>
    <w:r w:rsidR="00BA2A75">
      <w:rPr>
        <w:noProof/>
        <w:lang w:eastAsia="en-GB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4C5B"/>
    <w:multiLevelType w:val="hybridMultilevel"/>
    <w:tmpl w:val="80AE2A58"/>
    <w:lvl w:ilvl="0" w:tplc="0408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4F52008"/>
    <w:multiLevelType w:val="hybridMultilevel"/>
    <w:tmpl w:val="1700D1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67AE2"/>
    <w:multiLevelType w:val="hybridMultilevel"/>
    <w:tmpl w:val="9C308D14"/>
    <w:lvl w:ilvl="0" w:tplc="1D78F2DC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62E2C"/>
    <w:multiLevelType w:val="hybridMultilevel"/>
    <w:tmpl w:val="47166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211F1"/>
    <w:multiLevelType w:val="hybridMultilevel"/>
    <w:tmpl w:val="337A57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006D8"/>
    <w:multiLevelType w:val="hybridMultilevel"/>
    <w:tmpl w:val="907C60C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F50C3"/>
    <w:multiLevelType w:val="hybridMultilevel"/>
    <w:tmpl w:val="09A6AA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1B7AC3"/>
    <w:multiLevelType w:val="hybridMultilevel"/>
    <w:tmpl w:val="E15AC0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9A9"/>
    <w:multiLevelType w:val="hybridMultilevel"/>
    <w:tmpl w:val="1B8ACD4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5214F"/>
    <w:multiLevelType w:val="hybridMultilevel"/>
    <w:tmpl w:val="5CBE45C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D6E94"/>
    <w:multiLevelType w:val="hybridMultilevel"/>
    <w:tmpl w:val="EC786312"/>
    <w:lvl w:ilvl="0" w:tplc="371C7D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WAFVersion" w:val="5.0"/>
  </w:docVars>
  <w:rsids>
    <w:rsidRoot w:val="008D249C"/>
    <w:rsid w:val="00002B88"/>
    <w:rsid w:val="00012DBC"/>
    <w:rsid w:val="00013709"/>
    <w:rsid w:val="00015DC5"/>
    <w:rsid w:val="0003446C"/>
    <w:rsid w:val="00036456"/>
    <w:rsid w:val="0004129E"/>
    <w:rsid w:val="00043175"/>
    <w:rsid w:val="00044C8F"/>
    <w:rsid w:val="000476CC"/>
    <w:rsid w:val="00056597"/>
    <w:rsid w:val="00076E3C"/>
    <w:rsid w:val="00081B70"/>
    <w:rsid w:val="00081C35"/>
    <w:rsid w:val="0008244C"/>
    <w:rsid w:val="000857CB"/>
    <w:rsid w:val="0009759B"/>
    <w:rsid w:val="000A5B93"/>
    <w:rsid w:val="000B42F8"/>
    <w:rsid w:val="000B4900"/>
    <w:rsid w:val="000C0D29"/>
    <w:rsid w:val="000C64DF"/>
    <w:rsid w:val="000E3623"/>
    <w:rsid w:val="000E6424"/>
    <w:rsid w:val="000E6614"/>
    <w:rsid w:val="000E7BCD"/>
    <w:rsid w:val="000F2E77"/>
    <w:rsid w:val="000F401A"/>
    <w:rsid w:val="00105DBB"/>
    <w:rsid w:val="00111FB1"/>
    <w:rsid w:val="001137CC"/>
    <w:rsid w:val="0011660C"/>
    <w:rsid w:val="0012010A"/>
    <w:rsid w:val="00124355"/>
    <w:rsid w:val="00131D9D"/>
    <w:rsid w:val="00136819"/>
    <w:rsid w:val="00136969"/>
    <w:rsid w:val="00143999"/>
    <w:rsid w:val="001472A4"/>
    <w:rsid w:val="00150658"/>
    <w:rsid w:val="00152584"/>
    <w:rsid w:val="001568A5"/>
    <w:rsid w:val="00162CE8"/>
    <w:rsid w:val="00166B69"/>
    <w:rsid w:val="00170C4D"/>
    <w:rsid w:val="00171D78"/>
    <w:rsid w:val="00180F86"/>
    <w:rsid w:val="00181B08"/>
    <w:rsid w:val="00181DAB"/>
    <w:rsid w:val="00191EE4"/>
    <w:rsid w:val="00192CD7"/>
    <w:rsid w:val="00196188"/>
    <w:rsid w:val="001A0FF2"/>
    <w:rsid w:val="001A1FC1"/>
    <w:rsid w:val="001A3C70"/>
    <w:rsid w:val="001A430A"/>
    <w:rsid w:val="001A5FD9"/>
    <w:rsid w:val="001B6908"/>
    <w:rsid w:val="001C26BF"/>
    <w:rsid w:val="001C4DE6"/>
    <w:rsid w:val="001D1617"/>
    <w:rsid w:val="001D28E7"/>
    <w:rsid w:val="001D36EA"/>
    <w:rsid w:val="001D44DB"/>
    <w:rsid w:val="001D68C3"/>
    <w:rsid w:val="001E162A"/>
    <w:rsid w:val="001E7902"/>
    <w:rsid w:val="001F1936"/>
    <w:rsid w:val="001F322C"/>
    <w:rsid w:val="001F5F18"/>
    <w:rsid w:val="00211259"/>
    <w:rsid w:val="00214DCC"/>
    <w:rsid w:val="002234D7"/>
    <w:rsid w:val="00223704"/>
    <w:rsid w:val="0022515B"/>
    <w:rsid w:val="002312A1"/>
    <w:rsid w:val="00234C42"/>
    <w:rsid w:val="00242035"/>
    <w:rsid w:val="00246E43"/>
    <w:rsid w:val="00250D8D"/>
    <w:rsid w:val="002518F0"/>
    <w:rsid w:val="00253AEC"/>
    <w:rsid w:val="00255DB1"/>
    <w:rsid w:val="00256213"/>
    <w:rsid w:val="00260470"/>
    <w:rsid w:val="00275625"/>
    <w:rsid w:val="00277D98"/>
    <w:rsid w:val="00283974"/>
    <w:rsid w:val="00284B1B"/>
    <w:rsid w:val="0029120E"/>
    <w:rsid w:val="00291F31"/>
    <w:rsid w:val="002A2300"/>
    <w:rsid w:val="002B1FE1"/>
    <w:rsid w:val="002B2FF1"/>
    <w:rsid w:val="002C4680"/>
    <w:rsid w:val="002C7098"/>
    <w:rsid w:val="002D770A"/>
    <w:rsid w:val="002E021D"/>
    <w:rsid w:val="002E12CB"/>
    <w:rsid w:val="002E66C9"/>
    <w:rsid w:val="002F2830"/>
    <w:rsid w:val="002F766B"/>
    <w:rsid w:val="0030056B"/>
    <w:rsid w:val="00300B0D"/>
    <w:rsid w:val="00301535"/>
    <w:rsid w:val="0030280A"/>
    <w:rsid w:val="00303086"/>
    <w:rsid w:val="00303F6E"/>
    <w:rsid w:val="0030460E"/>
    <w:rsid w:val="00304AF2"/>
    <w:rsid w:val="00316BBD"/>
    <w:rsid w:val="003256CF"/>
    <w:rsid w:val="0032602C"/>
    <w:rsid w:val="00333D3A"/>
    <w:rsid w:val="00342FAA"/>
    <w:rsid w:val="003452F0"/>
    <w:rsid w:val="0035190C"/>
    <w:rsid w:val="0036233B"/>
    <w:rsid w:val="00364D28"/>
    <w:rsid w:val="0037435C"/>
    <w:rsid w:val="003759DE"/>
    <w:rsid w:val="0038284C"/>
    <w:rsid w:val="003867C9"/>
    <w:rsid w:val="00392BD9"/>
    <w:rsid w:val="00394A15"/>
    <w:rsid w:val="003B1641"/>
    <w:rsid w:val="003B24E1"/>
    <w:rsid w:val="003B522F"/>
    <w:rsid w:val="003B6A37"/>
    <w:rsid w:val="003D4631"/>
    <w:rsid w:val="003F1156"/>
    <w:rsid w:val="003F2782"/>
    <w:rsid w:val="003F43F3"/>
    <w:rsid w:val="003F5097"/>
    <w:rsid w:val="00403037"/>
    <w:rsid w:val="0041239D"/>
    <w:rsid w:val="004130BE"/>
    <w:rsid w:val="0041358F"/>
    <w:rsid w:val="00413642"/>
    <w:rsid w:val="004166F0"/>
    <w:rsid w:val="004172A9"/>
    <w:rsid w:val="004334A3"/>
    <w:rsid w:val="00436C45"/>
    <w:rsid w:val="0044287F"/>
    <w:rsid w:val="004438C1"/>
    <w:rsid w:val="00450764"/>
    <w:rsid w:val="00453C20"/>
    <w:rsid w:val="00460F9F"/>
    <w:rsid w:val="00462572"/>
    <w:rsid w:val="0046340B"/>
    <w:rsid w:val="004648E6"/>
    <w:rsid w:val="00465E1D"/>
    <w:rsid w:val="004927FB"/>
    <w:rsid w:val="004A12EF"/>
    <w:rsid w:val="004A371A"/>
    <w:rsid w:val="004A4579"/>
    <w:rsid w:val="004B08C4"/>
    <w:rsid w:val="004B2E79"/>
    <w:rsid w:val="004B4EFC"/>
    <w:rsid w:val="004D1FED"/>
    <w:rsid w:val="004E3414"/>
    <w:rsid w:val="004E68AB"/>
    <w:rsid w:val="004E7113"/>
    <w:rsid w:val="00503189"/>
    <w:rsid w:val="0051095C"/>
    <w:rsid w:val="00514214"/>
    <w:rsid w:val="00523204"/>
    <w:rsid w:val="00523F9A"/>
    <w:rsid w:val="005359DE"/>
    <w:rsid w:val="00546341"/>
    <w:rsid w:val="00546866"/>
    <w:rsid w:val="00550648"/>
    <w:rsid w:val="00552169"/>
    <w:rsid w:val="005537BA"/>
    <w:rsid w:val="00557326"/>
    <w:rsid w:val="00560759"/>
    <w:rsid w:val="00562497"/>
    <w:rsid w:val="005651BD"/>
    <w:rsid w:val="00565FD6"/>
    <w:rsid w:val="0057659C"/>
    <w:rsid w:val="0058289C"/>
    <w:rsid w:val="00584107"/>
    <w:rsid w:val="00586F2D"/>
    <w:rsid w:val="0059024F"/>
    <w:rsid w:val="005B502F"/>
    <w:rsid w:val="005C2992"/>
    <w:rsid w:val="005C49B9"/>
    <w:rsid w:val="005C4F7B"/>
    <w:rsid w:val="005D04E5"/>
    <w:rsid w:val="005D7AAD"/>
    <w:rsid w:val="005E0983"/>
    <w:rsid w:val="005F0602"/>
    <w:rsid w:val="005F6F27"/>
    <w:rsid w:val="005F731D"/>
    <w:rsid w:val="00600AF5"/>
    <w:rsid w:val="00601396"/>
    <w:rsid w:val="00602112"/>
    <w:rsid w:val="00604215"/>
    <w:rsid w:val="0061594F"/>
    <w:rsid w:val="00620A68"/>
    <w:rsid w:val="00620C51"/>
    <w:rsid w:val="00625E26"/>
    <w:rsid w:val="006466D1"/>
    <w:rsid w:val="00655461"/>
    <w:rsid w:val="00664729"/>
    <w:rsid w:val="00666A44"/>
    <w:rsid w:val="00667186"/>
    <w:rsid w:val="00671315"/>
    <w:rsid w:val="00672B59"/>
    <w:rsid w:val="0067502C"/>
    <w:rsid w:val="00682B55"/>
    <w:rsid w:val="006843C2"/>
    <w:rsid w:val="00695397"/>
    <w:rsid w:val="006A1914"/>
    <w:rsid w:val="006A3962"/>
    <w:rsid w:val="006A647A"/>
    <w:rsid w:val="006A666C"/>
    <w:rsid w:val="006B5440"/>
    <w:rsid w:val="006C0CF1"/>
    <w:rsid w:val="006C7BA3"/>
    <w:rsid w:val="006D0912"/>
    <w:rsid w:val="006D0A2C"/>
    <w:rsid w:val="006D14D7"/>
    <w:rsid w:val="006D3171"/>
    <w:rsid w:val="006E3520"/>
    <w:rsid w:val="006E36BF"/>
    <w:rsid w:val="006F19BC"/>
    <w:rsid w:val="006F7C98"/>
    <w:rsid w:val="00715B92"/>
    <w:rsid w:val="00730734"/>
    <w:rsid w:val="00731DF9"/>
    <w:rsid w:val="00737F70"/>
    <w:rsid w:val="00742CBC"/>
    <w:rsid w:val="00744A05"/>
    <w:rsid w:val="007453F6"/>
    <w:rsid w:val="0074752B"/>
    <w:rsid w:val="007501F0"/>
    <w:rsid w:val="00752FF1"/>
    <w:rsid w:val="0076070C"/>
    <w:rsid w:val="007607EB"/>
    <w:rsid w:val="00772247"/>
    <w:rsid w:val="00784619"/>
    <w:rsid w:val="00795930"/>
    <w:rsid w:val="00796A01"/>
    <w:rsid w:val="007A1C4C"/>
    <w:rsid w:val="007A4660"/>
    <w:rsid w:val="007B112E"/>
    <w:rsid w:val="007B409C"/>
    <w:rsid w:val="007C2AF2"/>
    <w:rsid w:val="007C337B"/>
    <w:rsid w:val="007C5392"/>
    <w:rsid w:val="007D46EB"/>
    <w:rsid w:val="007D4972"/>
    <w:rsid w:val="007D4A5E"/>
    <w:rsid w:val="007D56BF"/>
    <w:rsid w:val="007E49F8"/>
    <w:rsid w:val="007E667A"/>
    <w:rsid w:val="00803A9F"/>
    <w:rsid w:val="00814EEC"/>
    <w:rsid w:val="0082016B"/>
    <w:rsid w:val="0082304F"/>
    <w:rsid w:val="00824FC2"/>
    <w:rsid w:val="00826959"/>
    <w:rsid w:val="008371A2"/>
    <w:rsid w:val="0084315D"/>
    <w:rsid w:val="00851A1E"/>
    <w:rsid w:val="0085630C"/>
    <w:rsid w:val="00856E22"/>
    <w:rsid w:val="00857C86"/>
    <w:rsid w:val="00871E0B"/>
    <w:rsid w:val="0087219B"/>
    <w:rsid w:val="0087496B"/>
    <w:rsid w:val="0088109F"/>
    <w:rsid w:val="00882B71"/>
    <w:rsid w:val="00882B95"/>
    <w:rsid w:val="00893F25"/>
    <w:rsid w:val="008A2854"/>
    <w:rsid w:val="008A4F52"/>
    <w:rsid w:val="008B1DEF"/>
    <w:rsid w:val="008B2D98"/>
    <w:rsid w:val="008B424F"/>
    <w:rsid w:val="008C1BD3"/>
    <w:rsid w:val="008C5361"/>
    <w:rsid w:val="008D249C"/>
    <w:rsid w:val="008D3AF8"/>
    <w:rsid w:val="008D514E"/>
    <w:rsid w:val="008D571B"/>
    <w:rsid w:val="008E3A1A"/>
    <w:rsid w:val="008E3B5C"/>
    <w:rsid w:val="008F0178"/>
    <w:rsid w:val="008F13D7"/>
    <w:rsid w:val="00900CF5"/>
    <w:rsid w:val="00913A42"/>
    <w:rsid w:val="00914C12"/>
    <w:rsid w:val="00922993"/>
    <w:rsid w:val="009234B1"/>
    <w:rsid w:val="00932839"/>
    <w:rsid w:val="0093360A"/>
    <w:rsid w:val="00935D04"/>
    <w:rsid w:val="00941699"/>
    <w:rsid w:val="00947F42"/>
    <w:rsid w:val="0096129E"/>
    <w:rsid w:val="00961C23"/>
    <w:rsid w:val="0097442D"/>
    <w:rsid w:val="00975579"/>
    <w:rsid w:val="00982A18"/>
    <w:rsid w:val="009864A0"/>
    <w:rsid w:val="0098704C"/>
    <w:rsid w:val="009875EE"/>
    <w:rsid w:val="00992E51"/>
    <w:rsid w:val="00997C3B"/>
    <w:rsid w:val="009A0221"/>
    <w:rsid w:val="009A36E3"/>
    <w:rsid w:val="009A621D"/>
    <w:rsid w:val="009B0FFF"/>
    <w:rsid w:val="009B5CA9"/>
    <w:rsid w:val="009C4220"/>
    <w:rsid w:val="009C4B04"/>
    <w:rsid w:val="009C70A0"/>
    <w:rsid w:val="009D0C9C"/>
    <w:rsid w:val="009D238C"/>
    <w:rsid w:val="009D287F"/>
    <w:rsid w:val="009D6E0F"/>
    <w:rsid w:val="009E06E6"/>
    <w:rsid w:val="009E7E0A"/>
    <w:rsid w:val="009F3F8A"/>
    <w:rsid w:val="009F5744"/>
    <w:rsid w:val="00A0138C"/>
    <w:rsid w:val="00A01AFF"/>
    <w:rsid w:val="00A1307B"/>
    <w:rsid w:val="00A22147"/>
    <w:rsid w:val="00A267ED"/>
    <w:rsid w:val="00A42F92"/>
    <w:rsid w:val="00A46770"/>
    <w:rsid w:val="00A67494"/>
    <w:rsid w:val="00A70715"/>
    <w:rsid w:val="00A77F97"/>
    <w:rsid w:val="00A87780"/>
    <w:rsid w:val="00A9023A"/>
    <w:rsid w:val="00A92AB9"/>
    <w:rsid w:val="00A92C26"/>
    <w:rsid w:val="00AB026E"/>
    <w:rsid w:val="00AB4C26"/>
    <w:rsid w:val="00AC165E"/>
    <w:rsid w:val="00AC6154"/>
    <w:rsid w:val="00AD11E4"/>
    <w:rsid w:val="00AD4304"/>
    <w:rsid w:val="00AD4E9D"/>
    <w:rsid w:val="00AD7852"/>
    <w:rsid w:val="00AE21C2"/>
    <w:rsid w:val="00AF0D28"/>
    <w:rsid w:val="00AF1AFB"/>
    <w:rsid w:val="00AF2906"/>
    <w:rsid w:val="00AF612E"/>
    <w:rsid w:val="00AF6A52"/>
    <w:rsid w:val="00B0027F"/>
    <w:rsid w:val="00B02941"/>
    <w:rsid w:val="00B043B3"/>
    <w:rsid w:val="00B10613"/>
    <w:rsid w:val="00B10941"/>
    <w:rsid w:val="00B11E0E"/>
    <w:rsid w:val="00B13279"/>
    <w:rsid w:val="00B14726"/>
    <w:rsid w:val="00B21349"/>
    <w:rsid w:val="00B21698"/>
    <w:rsid w:val="00B23FE2"/>
    <w:rsid w:val="00B2425A"/>
    <w:rsid w:val="00B418A6"/>
    <w:rsid w:val="00B4354F"/>
    <w:rsid w:val="00B56F06"/>
    <w:rsid w:val="00B73DA4"/>
    <w:rsid w:val="00B7464E"/>
    <w:rsid w:val="00B845E8"/>
    <w:rsid w:val="00B848F3"/>
    <w:rsid w:val="00B862F6"/>
    <w:rsid w:val="00B909E7"/>
    <w:rsid w:val="00B94ED0"/>
    <w:rsid w:val="00BA2A75"/>
    <w:rsid w:val="00BA7A51"/>
    <w:rsid w:val="00BA7E24"/>
    <w:rsid w:val="00BB0BF5"/>
    <w:rsid w:val="00BB6A72"/>
    <w:rsid w:val="00BC4CD0"/>
    <w:rsid w:val="00BC791A"/>
    <w:rsid w:val="00BD200F"/>
    <w:rsid w:val="00BD62CD"/>
    <w:rsid w:val="00BE2D35"/>
    <w:rsid w:val="00BF210B"/>
    <w:rsid w:val="00BF40C6"/>
    <w:rsid w:val="00BF7C5D"/>
    <w:rsid w:val="00C0264E"/>
    <w:rsid w:val="00C051C5"/>
    <w:rsid w:val="00C20929"/>
    <w:rsid w:val="00C21FCA"/>
    <w:rsid w:val="00C320DD"/>
    <w:rsid w:val="00C36501"/>
    <w:rsid w:val="00C47FD8"/>
    <w:rsid w:val="00C60065"/>
    <w:rsid w:val="00C61962"/>
    <w:rsid w:val="00C82792"/>
    <w:rsid w:val="00C8625C"/>
    <w:rsid w:val="00C92419"/>
    <w:rsid w:val="00C9290C"/>
    <w:rsid w:val="00C94617"/>
    <w:rsid w:val="00CA49E7"/>
    <w:rsid w:val="00CB1433"/>
    <w:rsid w:val="00CB605D"/>
    <w:rsid w:val="00CB6A20"/>
    <w:rsid w:val="00CB7A63"/>
    <w:rsid w:val="00CC2B55"/>
    <w:rsid w:val="00CC7002"/>
    <w:rsid w:val="00CD0529"/>
    <w:rsid w:val="00CD4B53"/>
    <w:rsid w:val="00CE0B2F"/>
    <w:rsid w:val="00CF2232"/>
    <w:rsid w:val="00CF3745"/>
    <w:rsid w:val="00CF500F"/>
    <w:rsid w:val="00D00E02"/>
    <w:rsid w:val="00D1225C"/>
    <w:rsid w:val="00D30C26"/>
    <w:rsid w:val="00D33B31"/>
    <w:rsid w:val="00D33DDF"/>
    <w:rsid w:val="00D35FC9"/>
    <w:rsid w:val="00D37DF4"/>
    <w:rsid w:val="00D44D80"/>
    <w:rsid w:val="00D506C2"/>
    <w:rsid w:val="00D57B5E"/>
    <w:rsid w:val="00D660AB"/>
    <w:rsid w:val="00D70DC1"/>
    <w:rsid w:val="00D7511A"/>
    <w:rsid w:val="00D81447"/>
    <w:rsid w:val="00D8154D"/>
    <w:rsid w:val="00D83E7A"/>
    <w:rsid w:val="00D87638"/>
    <w:rsid w:val="00D96AE5"/>
    <w:rsid w:val="00DB450E"/>
    <w:rsid w:val="00DB4FAE"/>
    <w:rsid w:val="00DB5FDF"/>
    <w:rsid w:val="00DD0852"/>
    <w:rsid w:val="00DE035D"/>
    <w:rsid w:val="00DF0716"/>
    <w:rsid w:val="00DF0845"/>
    <w:rsid w:val="00DF5046"/>
    <w:rsid w:val="00DF54D1"/>
    <w:rsid w:val="00E01ED2"/>
    <w:rsid w:val="00E12DD3"/>
    <w:rsid w:val="00E14B9B"/>
    <w:rsid w:val="00E15242"/>
    <w:rsid w:val="00E34722"/>
    <w:rsid w:val="00E458EF"/>
    <w:rsid w:val="00E47A2B"/>
    <w:rsid w:val="00E50331"/>
    <w:rsid w:val="00E5153E"/>
    <w:rsid w:val="00E546BE"/>
    <w:rsid w:val="00E57A75"/>
    <w:rsid w:val="00E62078"/>
    <w:rsid w:val="00E700ED"/>
    <w:rsid w:val="00E718BF"/>
    <w:rsid w:val="00E8224B"/>
    <w:rsid w:val="00E84194"/>
    <w:rsid w:val="00E859FA"/>
    <w:rsid w:val="00EA10E4"/>
    <w:rsid w:val="00EA739F"/>
    <w:rsid w:val="00EB05EE"/>
    <w:rsid w:val="00EB75DC"/>
    <w:rsid w:val="00EC3ACD"/>
    <w:rsid w:val="00EC5ACC"/>
    <w:rsid w:val="00ED3CD7"/>
    <w:rsid w:val="00EE01F4"/>
    <w:rsid w:val="00EF0351"/>
    <w:rsid w:val="00EF3EF6"/>
    <w:rsid w:val="00EF71D0"/>
    <w:rsid w:val="00F10392"/>
    <w:rsid w:val="00F1373E"/>
    <w:rsid w:val="00F17AD1"/>
    <w:rsid w:val="00F214FF"/>
    <w:rsid w:val="00F21FCD"/>
    <w:rsid w:val="00F234D5"/>
    <w:rsid w:val="00F25284"/>
    <w:rsid w:val="00F25B9D"/>
    <w:rsid w:val="00F31994"/>
    <w:rsid w:val="00F33D6A"/>
    <w:rsid w:val="00F441ED"/>
    <w:rsid w:val="00F55E8A"/>
    <w:rsid w:val="00F6577D"/>
    <w:rsid w:val="00F7062F"/>
    <w:rsid w:val="00F822D1"/>
    <w:rsid w:val="00F86822"/>
    <w:rsid w:val="00F871F6"/>
    <w:rsid w:val="00FA09CF"/>
    <w:rsid w:val="00FA37D2"/>
    <w:rsid w:val="00FA4149"/>
    <w:rsid w:val="00FA50A0"/>
    <w:rsid w:val="00FB11B7"/>
    <w:rsid w:val="00FB664C"/>
    <w:rsid w:val="00FB7C87"/>
    <w:rsid w:val="00FC5C48"/>
    <w:rsid w:val="00FC6807"/>
    <w:rsid w:val="00FD17DA"/>
    <w:rsid w:val="00FD54A4"/>
    <w:rsid w:val="00FE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CD829B8"/>
  <w15:docId w15:val="{15D3C5FB-016E-439F-8E06-7DA50281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49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4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49C"/>
    <w:pPr>
      <w:ind w:left="720"/>
      <w:contextualSpacing/>
    </w:pPr>
  </w:style>
  <w:style w:type="paragraph" w:styleId="Header">
    <w:name w:val="header"/>
    <w:basedOn w:val="Normal"/>
    <w:link w:val="HeaderChar"/>
    <w:rsid w:val="008D2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249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rsid w:val="008D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249C"/>
    <w:rPr>
      <w:rFonts w:ascii="Tahoma" w:eastAsiaTheme="minorEastAsia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rsid w:val="003828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828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customStyle="1" w:styleId="TableText">
    <w:name w:val="Table Text"/>
    <w:basedOn w:val="BodyText"/>
    <w:rsid w:val="0098704C"/>
    <w:pPr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l-GR"/>
    </w:rPr>
  </w:style>
  <w:style w:type="paragraph" w:styleId="BodyText">
    <w:name w:val="Body Text"/>
    <w:basedOn w:val="Normal"/>
    <w:link w:val="BodyTextChar"/>
    <w:rsid w:val="009870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70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rsid w:val="00947F4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C5ACC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647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C929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9290C"/>
    <w:rPr>
      <w:rFonts w:asciiTheme="minorHAnsi" w:eastAsiaTheme="minorEastAsia" w:hAnsiTheme="minorHAnsi" w:cstheme="minorBidi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C9290C"/>
    <w:rPr>
      <w:vertAlign w:val="superscript"/>
    </w:rPr>
  </w:style>
  <w:style w:type="paragraph" w:styleId="Revision">
    <w:name w:val="Revision"/>
    <w:hidden/>
    <w:uiPriority w:val="99"/>
    <w:semiHidden/>
    <w:rsid w:val="00F1373E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30460E"/>
    <w:pPr>
      <w:pBdr>
        <w:bottom w:val="single" w:sz="48" w:space="1" w:color="006EAB"/>
      </w:pBdr>
      <w:spacing w:before="600" w:after="480" w:line="240" w:lineRule="auto"/>
      <w:jc w:val="both"/>
    </w:pPr>
    <w:rPr>
      <w:rFonts w:eastAsiaTheme="minorHAnsi"/>
      <w:b/>
      <w:color w:val="006EAB"/>
      <w:sz w:val="40"/>
      <w:szCs w:val="48"/>
      <w:lang w:val="el-GR"/>
    </w:rPr>
  </w:style>
  <w:style w:type="character" w:customStyle="1" w:styleId="TitleChar">
    <w:name w:val="Title Char"/>
    <w:basedOn w:val="DefaultParagraphFont"/>
    <w:link w:val="Title"/>
    <w:uiPriority w:val="10"/>
    <w:rsid w:val="0030460E"/>
    <w:rPr>
      <w:rFonts w:asciiTheme="minorHAnsi" w:eastAsiaTheme="minorHAnsi" w:hAnsiTheme="minorHAnsi" w:cstheme="minorBidi"/>
      <w:b/>
      <w:color w:val="006EAB"/>
      <w:sz w:val="40"/>
      <w:szCs w:val="48"/>
      <w:lang w:eastAsia="en-US"/>
    </w:rPr>
  </w:style>
  <w:style w:type="paragraph" w:customStyle="1" w:styleId="DateNew">
    <w:name w:val="Date New"/>
    <w:basedOn w:val="Normal"/>
    <w:next w:val="Normal"/>
    <w:qFormat/>
    <w:rsid w:val="009875EE"/>
    <w:pPr>
      <w:spacing w:before="120"/>
      <w:jc w:val="right"/>
    </w:pPr>
    <w:rPr>
      <w:rFonts w:eastAsiaTheme="minorHAnsi"/>
      <w:color w:val="58585A"/>
      <w:sz w:val="24"/>
      <w:lang w:val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0983"/>
    <w:pPr>
      <w:pBdr>
        <w:top w:val="single" w:sz="24" w:space="1" w:color="006EAB"/>
      </w:pBdr>
      <w:spacing w:after="0" w:line="240" w:lineRule="auto"/>
      <w:jc w:val="right"/>
    </w:pPr>
    <w:rPr>
      <w:rFonts w:eastAsiaTheme="minorHAnsi"/>
      <w:b/>
      <w:color w:val="006EAB"/>
      <w:sz w:val="48"/>
      <w:szCs w:val="48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rsid w:val="005E0983"/>
    <w:rPr>
      <w:rFonts w:asciiTheme="minorHAnsi" w:eastAsiaTheme="minorHAnsi" w:hAnsiTheme="minorHAnsi" w:cstheme="minorBidi"/>
      <w:b/>
      <w:color w:val="006EAB"/>
      <w:sz w:val="48"/>
      <w:szCs w:val="48"/>
      <w:lang w:eastAsia="en-US"/>
    </w:rPr>
  </w:style>
  <w:style w:type="paragraph" w:styleId="EndnoteText">
    <w:name w:val="endnote text"/>
    <w:basedOn w:val="Normal"/>
    <w:link w:val="EndnoteTextChar"/>
    <w:semiHidden/>
    <w:unhideWhenUsed/>
    <w:rsid w:val="00882B9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82B95"/>
    <w:rPr>
      <w:rFonts w:asciiTheme="minorHAnsi" w:eastAsiaTheme="minorEastAsia" w:hAnsiTheme="minorHAnsi" w:cstheme="minorBidi"/>
      <w:lang w:val="en-GB" w:eastAsia="en-US"/>
    </w:rPr>
  </w:style>
  <w:style w:type="character" w:styleId="EndnoteReference">
    <w:name w:val="endnote reference"/>
    <w:basedOn w:val="DefaultParagraphFont"/>
    <w:semiHidden/>
    <w:unhideWhenUsed/>
    <w:rsid w:val="00882B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688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8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0821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65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athexgroup.g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thexgroup.gr/el/athexcsd-regulation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498f2868-5c8e-42be-8748-1dd57ec22400" origin="userSelected">
  <element uid="a759ed69-6ff0-492f-9e90-8239c39e63f6" value=""/>
  <element uid="8f474eef-e083-4422-b797-1a6717904cd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5282-2C32-4A9B-A7C9-6B8C61C93B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FD71653-1E5D-4AB4-A4E9-B5A4BC16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1243</TotalTime>
  <Pages>3</Pages>
  <Words>341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Papadomarkakis, Ioannis</dc:creator>
  <cp:keywords>ΔΗΜΟΣΙΟ (PUBLIC)ΕΛΛΗΝΙΚΗ (GREEK)</cp:keywords>
  <cp:lastModifiedBy>Papadomarkakis, Ioannis</cp:lastModifiedBy>
  <cp:revision>134</cp:revision>
  <cp:lastPrinted>2024-05-15T08:55:00Z</cp:lastPrinted>
  <dcterms:created xsi:type="dcterms:W3CDTF">2021-12-30T19:07:00Z</dcterms:created>
  <dcterms:modified xsi:type="dcterms:W3CDTF">2025-01-10T17:28:00Z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7eab3bc1-3cec-490b-a572-ef9e5cc51a16</vt:lpwstr>
  </property>
  <property fmtid="{D5CDD505-2E9C-101B-9397-08002B2CF9AE}" pid="3" name="bjSaver">
    <vt:lpwstr>59R3sZNEEto3sNR6WPwbplIweadDziyk</vt:lpwstr>
  </property>
  <property fmtid="{D5CDD505-2E9C-101B-9397-08002B2CF9AE}" pid="4" name="bjDocumentSecurityLabel">
    <vt:lpwstr>ΔΗΜΟΣΙΟ (PUBLIC)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policy="498f2868-5c8e-42be-8748-1dd57ec22400" origin="userSelected" xmlns="http://www.boldonj</vt:lpwstr>
  </property>
  <property fmtid="{D5CDD505-2E9C-101B-9397-08002B2CF9AE}" pid="6" name="bjDocumentLabelXML-0">
    <vt:lpwstr>ames.com/2008/01/sie/internal/label"&gt;&lt;element uid="a759ed69-6ff0-492f-9e90-8239c39e63f6" value="" /&gt;&lt;element uid="8f474eef-e083-4422-b797-1a6717904cd3" value="" /&gt;&lt;/sisl&gt;</vt:lpwstr>
  </property>
  <property fmtid="{D5CDD505-2E9C-101B-9397-08002B2CF9AE}" pid="7" name="bjClsUserRVM">
    <vt:lpwstr>[]</vt:lpwstr>
  </property>
</Properties>
</file>